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1DF85" w14:textId="36520334" w:rsidR="00673B72" w:rsidRPr="0045688D" w:rsidRDefault="00E45676" w:rsidP="002D4C9E">
      <w:pPr>
        <w:jc w:val="center"/>
        <w:rPr>
          <w:rFonts w:cs="Times New Roman"/>
          <w:caps/>
          <w:sz w:val="28"/>
          <w:szCs w:val="28"/>
        </w:rPr>
      </w:pPr>
      <w:r w:rsidRPr="0045688D">
        <w:rPr>
          <w:rFonts w:cs="Times New Roman"/>
          <w:caps/>
          <w:sz w:val="28"/>
          <w:szCs w:val="28"/>
        </w:rPr>
        <w:t>Vilniaus Gedimino Technikos Universitetas</w:t>
      </w:r>
    </w:p>
    <w:p w14:paraId="07332CE0" w14:textId="2AD41892" w:rsidR="00E45676" w:rsidRPr="0045688D" w:rsidRDefault="00E45676" w:rsidP="002D4C9E">
      <w:pPr>
        <w:jc w:val="center"/>
        <w:rPr>
          <w:rFonts w:cs="Times New Roman"/>
          <w:caps/>
          <w:sz w:val="28"/>
          <w:szCs w:val="28"/>
        </w:rPr>
      </w:pPr>
      <w:r w:rsidRPr="0045688D">
        <w:rPr>
          <w:rFonts w:cs="Times New Roman"/>
          <w:caps/>
          <w:sz w:val="28"/>
          <w:szCs w:val="28"/>
        </w:rPr>
        <w:t>Verslo vadybos fakultetas</w:t>
      </w:r>
    </w:p>
    <w:p w14:paraId="25BF6518" w14:textId="698FA5E0" w:rsidR="00E45676" w:rsidRPr="0045688D" w:rsidRDefault="00E45676" w:rsidP="00C14AB2">
      <w:pPr>
        <w:spacing w:after="4440"/>
        <w:jc w:val="center"/>
        <w:rPr>
          <w:rFonts w:cs="Times New Roman"/>
          <w:caps/>
          <w:sz w:val="28"/>
          <w:szCs w:val="28"/>
        </w:rPr>
      </w:pPr>
      <w:r w:rsidRPr="0045688D">
        <w:rPr>
          <w:rFonts w:cs="Times New Roman"/>
          <w:caps/>
          <w:sz w:val="28"/>
          <w:szCs w:val="28"/>
        </w:rPr>
        <w:t>Ekonomikos inžinerijos katedra</w:t>
      </w:r>
    </w:p>
    <w:p w14:paraId="46DB6428" w14:textId="6FBFBB9F" w:rsidR="00E45676" w:rsidRPr="0045688D" w:rsidRDefault="00E45676" w:rsidP="002D4C9E">
      <w:pPr>
        <w:jc w:val="center"/>
        <w:rPr>
          <w:rFonts w:cs="Times New Roman"/>
          <w:caps/>
          <w:sz w:val="24"/>
          <w:szCs w:val="24"/>
        </w:rPr>
      </w:pPr>
      <w:r w:rsidRPr="0045688D">
        <w:rPr>
          <w:rFonts w:cs="Times New Roman"/>
          <w:caps/>
          <w:sz w:val="24"/>
          <w:szCs w:val="24"/>
        </w:rPr>
        <w:t>Projekti</w:t>
      </w:r>
      <w:r w:rsidR="00597001" w:rsidRPr="0045688D">
        <w:rPr>
          <w:rFonts w:cs="Times New Roman"/>
          <w:caps/>
          <w:sz w:val="24"/>
          <w:szCs w:val="24"/>
        </w:rPr>
        <w:t>I</w:t>
      </w:r>
      <w:r w:rsidRPr="0045688D">
        <w:rPr>
          <w:rFonts w:cs="Times New Roman"/>
          <w:caps/>
          <w:sz w:val="24"/>
          <w:szCs w:val="24"/>
        </w:rPr>
        <w:t>nis darbas</w:t>
      </w:r>
    </w:p>
    <w:p w14:paraId="423B99D8" w14:textId="48F88FBC" w:rsidR="00E45676" w:rsidRPr="0045688D" w:rsidRDefault="00E45676" w:rsidP="00C14AB2">
      <w:pPr>
        <w:spacing w:after="4440"/>
        <w:jc w:val="center"/>
        <w:rPr>
          <w:rFonts w:cs="Times New Roman"/>
          <w:b/>
          <w:bCs/>
          <w:caps/>
          <w:sz w:val="32"/>
          <w:szCs w:val="32"/>
        </w:rPr>
      </w:pPr>
      <w:r w:rsidRPr="0045688D">
        <w:rPr>
          <w:rFonts w:cs="Times New Roman"/>
          <w:b/>
          <w:bCs/>
          <w:caps/>
          <w:sz w:val="32"/>
          <w:szCs w:val="32"/>
        </w:rPr>
        <w:t>Valstybės biudžeto išlaidų struktūra ir pokyčiai 2015 - 2019 m.</w:t>
      </w:r>
    </w:p>
    <w:p w14:paraId="22E1E825" w14:textId="2ABF6403" w:rsidR="00E45676" w:rsidRPr="0045688D" w:rsidRDefault="00E45676" w:rsidP="002D4C9E">
      <w:pPr>
        <w:jc w:val="center"/>
        <w:rPr>
          <w:rFonts w:cs="Times New Roman"/>
          <w:sz w:val="24"/>
          <w:szCs w:val="24"/>
        </w:rPr>
      </w:pPr>
      <w:r w:rsidRPr="0045688D">
        <w:rPr>
          <w:rFonts w:cs="Times New Roman"/>
          <w:sz w:val="24"/>
          <w:szCs w:val="24"/>
        </w:rPr>
        <w:t>Vilnius, 2020</w:t>
      </w:r>
    </w:p>
    <w:p w14:paraId="2AC67BE2" w14:textId="5E1F2BBB" w:rsidR="00352838" w:rsidRDefault="00352838">
      <w:pPr>
        <w:spacing w:after="160" w:line="259" w:lineRule="auto"/>
        <w:ind w:firstLine="0"/>
        <w:jc w:val="left"/>
        <w:rPr>
          <w:rFonts w:cs="Times New Roman"/>
        </w:rPr>
      </w:pPr>
      <w:r w:rsidRPr="0045688D">
        <w:rPr>
          <w:rFonts w:cs="Times New Roman"/>
        </w:rPr>
        <w:br w:type="page"/>
      </w:r>
    </w:p>
    <w:p w14:paraId="6CDD8CC8" w14:textId="77777777" w:rsidR="00C14AB2" w:rsidRPr="0045688D" w:rsidRDefault="00C14AB2">
      <w:pPr>
        <w:spacing w:after="160" w:line="259" w:lineRule="auto"/>
        <w:ind w:firstLine="0"/>
        <w:jc w:val="left"/>
        <w:rPr>
          <w:rFonts w:cs="Times New Roman"/>
        </w:rPr>
      </w:pPr>
    </w:p>
    <w:p w14:paraId="466C7F17" w14:textId="77777777" w:rsidR="00F411EC" w:rsidRPr="0045688D" w:rsidRDefault="00F411EC">
      <w:pPr>
        <w:spacing w:after="160" w:line="259" w:lineRule="auto"/>
        <w:ind w:firstLine="0"/>
        <w:jc w:val="left"/>
        <w:rPr>
          <w:rFonts w:cs="Times New Roman"/>
        </w:rPr>
        <w:sectPr w:rsidR="00F411EC" w:rsidRPr="0045688D" w:rsidSect="00C41F43">
          <w:pgSz w:w="11906" w:h="16838"/>
          <w:pgMar w:top="1134" w:right="1134" w:bottom="1134" w:left="1134" w:header="709" w:footer="709" w:gutter="0"/>
          <w:cols w:space="708"/>
          <w:docGrid w:linePitch="360"/>
        </w:sectPr>
      </w:pPr>
    </w:p>
    <w:p w14:paraId="216A7BF5" w14:textId="5AD62CBD" w:rsidR="00352838" w:rsidRPr="0045688D" w:rsidRDefault="00597001" w:rsidP="00E72EE6">
      <w:pPr>
        <w:ind w:firstLine="0"/>
        <w:jc w:val="center"/>
        <w:rPr>
          <w:rFonts w:cs="Times New Roman"/>
          <w:b/>
          <w:bCs/>
          <w:sz w:val="24"/>
          <w:szCs w:val="24"/>
        </w:rPr>
      </w:pPr>
      <w:r w:rsidRPr="0045688D">
        <w:rPr>
          <w:rFonts w:cs="Times New Roman"/>
          <w:b/>
          <w:bCs/>
          <w:sz w:val="24"/>
          <w:szCs w:val="24"/>
        </w:rPr>
        <w:t>Įvadas</w:t>
      </w:r>
    </w:p>
    <w:p w14:paraId="35F6E338" w14:textId="31AE326E" w:rsidR="00497A93" w:rsidRPr="0045688D" w:rsidRDefault="00497A93" w:rsidP="00F411EC">
      <w:pPr>
        <w:rPr>
          <w:rFonts w:cs="Times New Roman"/>
        </w:rPr>
      </w:pPr>
    </w:p>
    <w:p w14:paraId="56591731" w14:textId="45BC1779" w:rsidR="00867536" w:rsidRPr="0045688D" w:rsidRDefault="001A12E7" w:rsidP="00F411EC">
      <w:pPr>
        <w:rPr>
          <w:rFonts w:cs="Times New Roman"/>
        </w:rPr>
      </w:pPr>
      <w:r w:rsidRPr="0045688D">
        <w:rPr>
          <w:rFonts w:cs="Times New Roman"/>
        </w:rPr>
        <w:t>Pagrindinis šio pro</w:t>
      </w:r>
      <w:r w:rsidR="004901EF" w:rsidRPr="0045688D">
        <w:rPr>
          <w:rFonts w:cs="Times New Roman"/>
        </w:rPr>
        <w:t>jektinio darbo tikslas yra išsiaiškinti valstybės biudžeto</w:t>
      </w:r>
      <w:r w:rsidR="00F411EC" w:rsidRPr="0045688D">
        <w:rPr>
          <w:rFonts w:cs="Times New Roman"/>
        </w:rPr>
        <w:t xml:space="preserve"> 2015 – 2019 m.</w:t>
      </w:r>
      <w:r w:rsidR="004901EF" w:rsidRPr="0045688D">
        <w:rPr>
          <w:rFonts w:cs="Times New Roman"/>
        </w:rPr>
        <w:t xml:space="preserve"> išlaid</w:t>
      </w:r>
      <w:r w:rsidR="001C4663" w:rsidRPr="0045688D">
        <w:rPr>
          <w:rFonts w:cs="Times New Roman"/>
        </w:rPr>
        <w:t xml:space="preserve">ų struktūrą bei </w:t>
      </w:r>
      <w:r w:rsidR="00F411EC" w:rsidRPr="0045688D">
        <w:rPr>
          <w:rFonts w:cs="Times New Roman"/>
        </w:rPr>
        <w:t>pokyčius.</w:t>
      </w:r>
      <w:r w:rsidR="00C721C5" w:rsidRPr="0045688D">
        <w:rPr>
          <w:rFonts w:cs="Times New Roman"/>
        </w:rPr>
        <w:t xml:space="preserve"> Pagrindiniai uždaviniai: išanalizuoti 2015 – 2019 m. valstybės biudžeto </w:t>
      </w:r>
      <w:r w:rsidR="00FD1E0C" w:rsidRPr="0045688D">
        <w:rPr>
          <w:rFonts w:cs="Times New Roman"/>
        </w:rPr>
        <w:t xml:space="preserve">asignavimų struktūrą, gautą informaciją </w:t>
      </w:r>
      <w:r w:rsidR="00051D4F" w:rsidRPr="0045688D">
        <w:rPr>
          <w:rFonts w:cs="Times New Roman"/>
        </w:rPr>
        <w:t xml:space="preserve">konkrečiai ir vaizdžiai pateikti projektiniame darbe, </w:t>
      </w:r>
      <w:r w:rsidR="00CE590A">
        <w:rPr>
          <w:rFonts w:cs="Times New Roman"/>
        </w:rPr>
        <w:t>pateikti</w:t>
      </w:r>
      <w:r w:rsidR="00972C38" w:rsidRPr="0045688D">
        <w:rPr>
          <w:rFonts w:cs="Times New Roman"/>
        </w:rPr>
        <w:t xml:space="preserve"> išvadas.</w:t>
      </w:r>
    </w:p>
    <w:p w14:paraId="4618C52F" w14:textId="77777777" w:rsidR="00497A93" w:rsidRPr="0045688D" w:rsidRDefault="00497A93" w:rsidP="00F411EC">
      <w:pPr>
        <w:rPr>
          <w:rFonts w:cs="Times New Roman"/>
        </w:rPr>
      </w:pPr>
    </w:p>
    <w:p w14:paraId="69B4E4F1" w14:textId="00C0AA56" w:rsidR="00972C38" w:rsidRPr="0045688D" w:rsidRDefault="00510A3A" w:rsidP="00E72EE6">
      <w:pPr>
        <w:ind w:firstLine="0"/>
        <w:jc w:val="center"/>
        <w:rPr>
          <w:rFonts w:cs="Times New Roman"/>
          <w:b/>
          <w:bCs/>
          <w:sz w:val="24"/>
          <w:szCs w:val="24"/>
        </w:rPr>
      </w:pPr>
      <w:r w:rsidRPr="0045688D">
        <w:rPr>
          <w:rFonts w:cs="Times New Roman"/>
          <w:b/>
          <w:bCs/>
          <w:sz w:val="24"/>
          <w:szCs w:val="24"/>
        </w:rPr>
        <w:t>L</w:t>
      </w:r>
      <w:r w:rsidR="00DE391A" w:rsidRPr="0045688D">
        <w:rPr>
          <w:rFonts w:cs="Times New Roman"/>
          <w:b/>
          <w:bCs/>
          <w:sz w:val="24"/>
          <w:szCs w:val="24"/>
        </w:rPr>
        <w:t>iteratūros apžvalga</w:t>
      </w:r>
    </w:p>
    <w:p w14:paraId="1A93FC11" w14:textId="77777777" w:rsidR="00497A93" w:rsidRPr="0045688D" w:rsidRDefault="00497A93" w:rsidP="00F411EC">
      <w:pPr>
        <w:rPr>
          <w:rFonts w:cs="Times New Roman"/>
        </w:rPr>
      </w:pPr>
    </w:p>
    <w:p w14:paraId="275ECA12" w14:textId="644889F0" w:rsidR="00DE391A" w:rsidRPr="0045688D" w:rsidRDefault="00497A93" w:rsidP="00497A93">
      <w:pPr>
        <w:rPr>
          <w:rFonts w:cs="Times New Roman"/>
        </w:rPr>
      </w:pPr>
      <w:r w:rsidRPr="0045688D">
        <w:rPr>
          <w:rFonts w:cs="Times New Roman"/>
        </w:rPr>
        <w:t xml:space="preserve">Siekiant išsiaiškinti valstybės biudžeto 2015 – 2019 m. išlaidų struktūrą ir pokyčius, analizuojamos kiekvienų metų asignavimų struktūros, jos taip pat yra palyginamos su ankstesnių metų valstybės biudžeto asignavimų </w:t>
      </w:r>
      <w:r w:rsidR="00BD73A9">
        <w:rPr>
          <w:rFonts w:cs="Times New Roman"/>
        </w:rPr>
        <w:t>lėšomis</w:t>
      </w:r>
      <w:r w:rsidRPr="0045688D">
        <w:rPr>
          <w:rFonts w:cs="Times New Roman"/>
        </w:rPr>
        <w:t>.</w:t>
      </w:r>
      <w:r w:rsidR="007F6C55" w:rsidRPr="0045688D">
        <w:rPr>
          <w:rFonts w:cs="Times New Roman"/>
        </w:rPr>
        <w:t xml:space="preserve"> </w:t>
      </w:r>
    </w:p>
    <w:p w14:paraId="59AD9027" w14:textId="77777777" w:rsidR="00497A93" w:rsidRPr="0045688D" w:rsidRDefault="00497A93" w:rsidP="00497A93">
      <w:pPr>
        <w:rPr>
          <w:rFonts w:cs="Times New Roman"/>
        </w:rPr>
      </w:pPr>
    </w:p>
    <w:p w14:paraId="06E06F77" w14:textId="6C9BC433" w:rsidR="00DE391A" w:rsidRPr="0045688D" w:rsidRDefault="00DE391A" w:rsidP="00E72EE6">
      <w:pPr>
        <w:ind w:firstLine="0"/>
        <w:jc w:val="center"/>
        <w:rPr>
          <w:rFonts w:cs="Times New Roman"/>
          <w:b/>
          <w:bCs/>
          <w:sz w:val="24"/>
          <w:szCs w:val="24"/>
        </w:rPr>
      </w:pPr>
      <w:r w:rsidRPr="0045688D">
        <w:rPr>
          <w:rFonts w:cs="Times New Roman"/>
          <w:b/>
          <w:bCs/>
          <w:sz w:val="24"/>
          <w:szCs w:val="24"/>
        </w:rPr>
        <w:t>Tyrimo metodologija</w:t>
      </w:r>
    </w:p>
    <w:p w14:paraId="5C92816E" w14:textId="787FC504" w:rsidR="009D4A19" w:rsidRPr="0045688D" w:rsidRDefault="009D4A19" w:rsidP="00F411EC">
      <w:pPr>
        <w:rPr>
          <w:rFonts w:cs="Times New Roman"/>
        </w:rPr>
      </w:pPr>
    </w:p>
    <w:p w14:paraId="5DFE2676" w14:textId="3C385730" w:rsidR="00A746F3" w:rsidRPr="0045688D" w:rsidRDefault="009D4A19" w:rsidP="00F411EC">
      <w:pPr>
        <w:rPr>
          <w:rFonts w:cs="Times New Roman"/>
        </w:rPr>
      </w:pPr>
      <w:r w:rsidRPr="0045688D">
        <w:rPr>
          <w:rFonts w:cs="Times New Roman"/>
        </w:rPr>
        <w:t>Tyrimo metu analizuojam</w:t>
      </w:r>
      <w:r w:rsidR="002065E3" w:rsidRPr="0045688D">
        <w:rPr>
          <w:rFonts w:cs="Times New Roman"/>
        </w:rPr>
        <w:t xml:space="preserve">a valstybės biudžeto 2015 – 2019 m. išlaidų </w:t>
      </w:r>
      <w:r w:rsidR="00EE6EFD" w:rsidRPr="0045688D">
        <w:rPr>
          <w:rFonts w:cs="Times New Roman"/>
        </w:rPr>
        <w:t>struktūra</w:t>
      </w:r>
      <w:r w:rsidR="0045036B" w:rsidRPr="0045688D">
        <w:rPr>
          <w:rFonts w:cs="Times New Roman"/>
        </w:rPr>
        <w:t>, kokia yra biudžeto sandara</w:t>
      </w:r>
      <w:r w:rsidR="006C7C13" w:rsidRPr="0045688D">
        <w:rPr>
          <w:rFonts w:cs="Times New Roman"/>
        </w:rPr>
        <w:t xml:space="preserve">, </w:t>
      </w:r>
      <w:r w:rsidR="006D64F0" w:rsidRPr="0045688D">
        <w:rPr>
          <w:rFonts w:cs="Times New Roman"/>
        </w:rPr>
        <w:t>koks yra lėšų pasiskirstymas</w:t>
      </w:r>
      <w:r w:rsidR="006C7C13" w:rsidRPr="0045688D">
        <w:rPr>
          <w:rFonts w:cs="Times New Roman"/>
        </w:rPr>
        <w:t xml:space="preserve"> bei palyginama su ankstesnių metų skirtomis lėšomis</w:t>
      </w:r>
      <w:r w:rsidR="00653F97" w:rsidRPr="0045688D">
        <w:rPr>
          <w:rFonts w:cs="Times New Roman"/>
        </w:rPr>
        <w:t>.</w:t>
      </w:r>
    </w:p>
    <w:p w14:paraId="484535B1" w14:textId="33768CF8" w:rsidR="00A746F3" w:rsidRPr="0045688D" w:rsidRDefault="00653F97" w:rsidP="00A14C36">
      <w:pPr>
        <w:rPr>
          <w:rFonts w:cs="Times New Roman"/>
        </w:rPr>
      </w:pPr>
      <w:r w:rsidRPr="0045688D">
        <w:rPr>
          <w:rFonts w:cs="Times New Roman"/>
        </w:rPr>
        <w:t>Valstybės</w:t>
      </w:r>
      <w:r w:rsidR="00064371" w:rsidRPr="0045688D">
        <w:rPr>
          <w:rFonts w:cs="Times New Roman"/>
        </w:rPr>
        <w:t xml:space="preserve"> biudžetas – tai Lietuvos Respublikos Seimo tvirtinamas valstybės biudžeto pajamų ir asignavimų planas biudžetiniams metams</w:t>
      </w:r>
      <w:r w:rsidR="00354D29" w:rsidRPr="0045688D">
        <w:rPr>
          <w:rFonts w:cs="Times New Roman"/>
        </w:rPr>
        <w:t>, jis taip pat gali būti deficitinis, subalansuotas arba perteklinis</w:t>
      </w:r>
      <w:r w:rsidR="00064371" w:rsidRPr="0045688D">
        <w:rPr>
          <w:rFonts w:cs="Times New Roman"/>
        </w:rPr>
        <w:t>.</w:t>
      </w:r>
      <w:r w:rsidR="00354D29" w:rsidRPr="0045688D">
        <w:rPr>
          <w:rFonts w:cs="Times New Roman"/>
        </w:rPr>
        <w:t xml:space="preserve"> Biudžeto </w:t>
      </w:r>
      <w:r w:rsidR="00FD1BAC" w:rsidRPr="0045688D">
        <w:rPr>
          <w:rFonts w:cs="Times New Roman"/>
        </w:rPr>
        <w:t>deficitas – tai skirtumas tarp biudžeto pajamų ir asignavimų, kai asignavimai virš</w:t>
      </w:r>
      <w:r w:rsidR="000545AA" w:rsidRPr="0045688D">
        <w:rPr>
          <w:rFonts w:cs="Times New Roman"/>
        </w:rPr>
        <w:t>ija pajamas, o biudžeto perteklius – tai skirtumas tarp biudžeto pajamų ir asignavimų</w:t>
      </w:r>
      <w:r w:rsidR="00466278" w:rsidRPr="0045688D">
        <w:rPr>
          <w:rFonts w:cs="Times New Roman"/>
        </w:rPr>
        <w:t xml:space="preserve">, kai pajamos viršija asignavimus. </w:t>
      </w:r>
      <w:r w:rsidR="00A14C36" w:rsidRPr="0045688D">
        <w:rPr>
          <w:rFonts w:cs="Times New Roman"/>
        </w:rPr>
        <w:t>Valstybės biudžeto pajamas sudaro mokesčių mokėtojų sumokėti mokesčiai, pajamos iš turto, ES ir kita tarptautinė finansinė parama bei kitos biudžeto pajamos, kurios yra perskirstomos per valstybės biudžetą ir skiriamos valstybės biudžeto programoms finansuoti.</w:t>
      </w:r>
    </w:p>
    <w:p w14:paraId="680EA4A0" w14:textId="7897816E" w:rsidR="009D4A19" w:rsidRPr="0045688D" w:rsidRDefault="00C14AB2" w:rsidP="00F411EC">
      <w:pPr>
        <w:rPr>
          <w:rFonts w:cs="Times New Roman"/>
        </w:rPr>
      </w:pPr>
      <w:r w:rsidRPr="004F626F">
        <w:rPr>
          <w:noProof/>
        </w:rPr>
        <w:drawing>
          <wp:anchor distT="180340" distB="180340" distL="114300" distR="114300" simplePos="0" relativeHeight="251659264" behindDoc="1" locked="0" layoutInCell="1" allowOverlap="1" wp14:anchorId="4553D0C1" wp14:editId="4813990F">
            <wp:simplePos x="0" y="0"/>
            <wp:positionH relativeFrom="margin">
              <wp:posOffset>-326301</wp:posOffset>
            </wp:positionH>
            <wp:positionV relativeFrom="paragraph">
              <wp:posOffset>1601160</wp:posOffset>
            </wp:positionV>
            <wp:extent cx="6640195" cy="2069465"/>
            <wp:effectExtent l="0" t="0" r="8255" b="6985"/>
            <wp:wrapTight wrapText="bothSides">
              <wp:wrapPolygon edited="1">
                <wp:start x="-67" y="-323"/>
                <wp:lineTo x="-67" y="21600"/>
                <wp:lineTo x="20168" y="21600"/>
                <wp:lineTo x="21600" y="21600"/>
                <wp:lineTo x="21548" y="11880"/>
                <wp:lineTo x="21144" y="10800"/>
                <wp:lineTo x="21548" y="10152"/>
                <wp:lineTo x="21548" y="3456"/>
                <wp:lineTo x="21010" y="3456"/>
                <wp:lineTo x="21548" y="2160"/>
                <wp:lineTo x="21499" y="109"/>
                <wp:lineTo x="-67" y="-323"/>
              </wp:wrapPolygon>
            </wp:wrapTight>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0195" cy="20694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9504" behindDoc="1" locked="0" layoutInCell="1" allowOverlap="1" wp14:anchorId="6AB2F606" wp14:editId="261A5B48">
                <wp:simplePos x="0" y="0"/>
                <wp:positionH relativeFrom="column">
                  <wp:align>left</wp:align>
                </wp:positionH>
                <wp:positionV relativeFrom="paragraph">
                  <wp:posOffset>3678318</wp:posOffset>
                </wp:positionV>
                <wp:extent cx="6640195" cy="635"/>
                <wp:effectExtent l="0" t="0" r="8255" b="8255"/>
                <wp:wrapTight wrapText="bothSides">
                  <wp:wrapPolygon edited="0">
                    <wp:start x="0" y="0"/>
                    <wp:lineTo x="0" y="20698"/>
                    <wp:lineTo x="21565" y="20698"/>
                    <wp:lineTo x="21565" y="0"/>
                    <wp:lineTo x="0" y="0"/>
                  </wp:wrapPolygon>
                </wp:wrapTight>
                <wp:docPr id="11" name="Teksto laukas 11"/>
                <wp:cNvGraphicFramePr/>
                <a:graphic xmlns:a="http://schemas.openxmlformats.org/drawingml/2006/main">
                  <a:graphicData uri="http://schemas.microsoft.com/office/word/2010/wordprocessingShape">
                    <wps:wsp>
                      <wps:cNvSpPr txBox="1"/>
                      <wps:spPr>
                        <a:xfrm>
                          <a:off x="0" y="0"/>
                          <a:ext cx="6640195" cy="635"/>
                        </a:xfrm>
                        <a:prstGeom prst="rect">
                          <a:avLst/>
                        </a:prstGeom>
                        <a:solidFill>
                          <a:prstClr val="white"/>
                        </a:solidFill>
                        <a:ln>
                          <a:noFill/>
                        </a:ln>
                      </wps:spPr>
                      <wps:txbx>
                        <w:txbxContent>
                          <w:p w14:paraId="7B9FC6FC" w14:textId="69628B26" w:rsidR="00C14AB2" w:rsidRPr="00C14AB2" w:rsidRDefault="00C14AB2" w:rsidP="00C14AB2">
                            <w:pPr>
                              <w:pStyle w:val="Antrat"/>
                              <w:jc w:val="center"/>
                              <w:rPr>
                                <w:color w:val="auto"/>
                                <w:sz w:val="20"/>
                              </w:rPr>
                            </w:pPr>
                            <w:r w:rsidRPr="00C14AB2">
                              <w:rPr>
                                <w:color w:val="auto"/>
                              </w:rPr>
                              <w:t xml:space="preserve">lentelė </w:t>
                            </w:r>
                            <w:r w:rsidRPr="00C14AB2">
                              <w:rPr>
                                <w:color w:val="auto"/>
                              </w:rPr>
                              <w:fldChar w:fldCharType="begin"/>
                            </w:r>
                            <w:r w:rsidRPr="00C14AB2">
                              <w:rPr>
                                <w:color w:val="auto"/>
                              </w:rPr>
                              <w:instrText xml:space="preserve"> SEQ lentelė \* ARABIC </w:instrText>
                            </w:r>
                            <w:r w:rsidRPr="00C14AB2">
                              <w:rPr>
                                <w:color w:val="auto"/>
                              </w:rPr>
                              <w:fldChar w:fldCharType="separate"/>
                            </w:r>
                            <w:r w:rsidRPr="00C14AB2">
                              <w:rPr>
                                <w:noProof/>
                                <w:color w:val="auto"/>
                              </w:rPr>
                              <w:t>1</w:t>
                            </w:r>
                            <w:r w:rsidRPr="00C14AB2">
                              <w:rPr>
                                <w:color w:val="auto"/>
                              </w:rPr>
                              <w:fldChar w:fldCharType="end"/>
                            </w:r>
                            <w:r w:rsidRPr="00C14AB2">
                              <w:rPr>
                                <w:color w:val="auto"/>
                              </w:rPr>
                              <w:t>Valstybės biudžeto asignavimų struktūra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AB2F606" id="_x0000_t202" coordsize="21600,21600" o:spt="202" path="m,l,21600r21600,l21600,xe">
                <v:stroke joinstyle="miter"/>
                <v:path gradientshapeok="t" o:connecttype="rect"/>
              </v:shapetype>
              <v:shape id="Teksto laukas 11" o:spid="_x0000_s1026" type="#_x0000_t202" style="position:absolute;left:0;text-align:left;margin-left:0;margin-top:289.65pt;width:522.85pt;height:.05pt;z-index:-251646976;visibility:visible;mso-wrap-style:square;mso-wrap-distance-left:9pt;mso-wrap-distance-top:0;mso-wrap-distance-right:9pt;mso-wrap-distance-bottom:0;mso-position-horizontal:left;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" stroked="f">
                <v:textbox style="mso-fit-shape-to-text:t" inset="0,0,0,0">
                  <w:txbxContent>
                    <w:p w14:paraId="7B9FC6FC" w14:textId="69628B26" w:rsidR="00C14AB2" w:rsidRPr="00C14AB2" w:rsidRDefault="00C14AB2" w:rsidP="00C14AB2">
                      <w:pPr>
                        <w:pStyle w:val="Antrat"/>
                        <w:jc w:val="center"/>
                        <w:rPr>
                          <w:color w:val="auto"/>
                          <w:sz w:val="20"/>
                        </w:rPr>
                      </w:pPr>
                      <w:r w:rsidRPr="00C14AB2">
                        <w:rPr>
                          <w:color w:val="auto"/>
                        </w:rPr>
                        <w:t xml:space="preserve">lentelė </w:t>
                      </w:r>
                      <w:r w:rsidRPr="00C14AB2">
                        <w:rPr>
                          <w:color w:val="auto"/>
                        </w:rPr>
                        <w:fldChar w:fldCharType="begin"/>
                      </w:r>
                      <w:r w:rsidRPr="00C14AB2">
                        <w:rPr>
                          <w:color w:val="auto"/>
                        </w:rPr>
                        <w:instrText xml:space="preserve"> SEQ lentelė \* ARABIC </w:instrText>
                      </w:r>
                      <w:r w:rsidRPr="00C14AB2">
                        <w:rPr>
                          <w:color w:val="auto"/>
                        </w:rPr>
                        <w:fldChar w:fldCharType="separate"/>
                      </w:r>
                      <w:r w:rsidRPr="00C14AB2">
                        <w:rPr>
                          <w:noProof/>
                          <w:color w:val="auto"/>
                        </w:rPr>
                        <w:t>1</w:t>
                      </w:r>
                      <w:r w:rsidRPr="00C14AB2">
                        <w:rPr>
                          <w:color w:val="auto"/>
                        </w:rPr>
                        <w:fldChar w:fldCharType="end"/>
                      </w:r>
                      <w:r w:rsidRPr="00C14AB2">
                        <w:rPr>
                          <w:color w:val="auto"/>
                        </w:rPr>
                        <w:t>Valstybės biudžeto asignavimų struktūra</w:t>
                      </w:r>
                    </w:p>
                  </w:txbxContent>
                </v:textbox>
                <w10:wrap type="tight"/>
              </v:shape>
            </w:pict>
          </mc:Fallback>
        </mc:AlternateContent>
      </w:r>
      <w:r w:rsidR="00466278" w:rsidRPr="0045688D">
        <w:rPr>
          <w:rFonts w:cs="Times New Roman"/>
        </w:rPr>
        <w:t xml:space="preserve">Asignavimai – tai valstybės biudžete </w:t>
      </w:r>
      <w:r w:rsidR="002B7E73" w:rsidRPr="0045688D">
        <w:rPr>
          <w:rFonts w:cs="Times New Roman"/>
        </w:rPr>
        <w:t xml:space="preserve">patvirtinta lėšų išlaidoms ir ilgalaikiam materialiajam ir </w:t>
      </w:r>
      <w:r w:rsidR="001050ED" w:rsidRPr="0045688D">
        <w:rPr>
          <w:rFonts w:cs="Times New Roman"/>
        </w:rPr>
        <w:t>nematerialiajam turtui įsigyti suma.</w:t>
      </w:r>
      <w:r w:rsidR="00064371" w:rsidRPr="0045688D">
        <w:rPr>
          <w:rFonts w:cs="Times New Roman"/>
        </w:rPr>
        <w:t xml:space="preserve"> </w:t>
      </w:r>
      <w:r w:rsidR="00735B9E" w:rsidRPr="0045688D">
        <w:rPr>
          <w:rFonts w:cs="Times New Roman"/>
        </w:rPr>
        <w:t xml:space="preserve">Valstybės biudžeto </w:t>
      </w:r>
      <w:r w:rsidR="00800D1C" w:rsidRPr="0045688D">
        <w:rPr>
          <w:rFonts w:cs="Times New Roman"/>
        </w:rPr>
        <w:t>asignavimai naudojami valstybės funkcijoms atlikti</w:t>
      </w:r>
      <w:r w:rsidR="00C03DD6" w:rsidRPr="0045688D">
        <w:rPr>
          <w:rFonts w:cs="Times New Roman"/>
        </w:rPr>
        <w:t xml:space="preserve"> bei valstybės įsipareigojimams vykdyti</w:t>
      </w:r>
      <w:r w:rsidR="00800D1C" w:rsidRPr="0045688D">
        <w:rPr>
          <w:rFonts w:cs="Times New Roman"/>
        </w:rPr>
        <w:t xml:space="preserve">. </w:t>
      </w:r>
      <w:r w:rsidR="00ED05F9" w:rsidRPr="0045688D">
        <w:rPr>
          <w:rFonts w:cs="Times New Roman"/>
        </w:rPr>
        <w:t>Siekiant ilgalaikės, visapusiškos ekonominės ir socialinės Lietuvos Resp</w:t>
      </w:r>
      <w:r w:rsidR="00E72EE6" w:rsidRPr="0045688D">
        <w:rPr>
          <w:rFonts w:cs="Times New Roman"/>
        </w:rPr>
        <w:t>ub</w:t>
      </w:r>
      <w:r w:rsidR="00ED05F9" w:rsidRPr="0045688D">
        <w:rPr>
          <w:rFonts w:cs="Times New Roman"/>
        </w:rPr>
        <w:t>likos piliečių gerovės, tvaraus ilgalaikio ekonominio augimo, užimtumo ir nekeliant grėsmės kainų stabilumui</w:t>
      </w:r>
      <w:r w:rsidR="005274EA" w:rsidRPr="0045688D">
        <w:rPr>
          <w:rFonts w:cs="Times New Roman"/>
        </w:rPr>
        <w:t xml:space="preserve"> užtikrinti, kad sudarant ir vykdant biudžetą piniginiai ištekliai būtų naudojami</w:t>
      </w:r>
      <w:r w:rsidR="00E72EE6" w:rsidRPr="0045688D">
        <w:rPr>
          <w:rFonts w:cs="Times New Roman"/>
        </w:rPr>
        <w:t xml:space="preserve"> </w:t>
      </w:r>
      <w:r w:rsidR="00E72EE6" w:rsidRPr="0045688D">
        <w:rPr>
          <w:rFonts w:cs="Times New Roman"/>
        </w:rPr>
        <w:t xml:space="preserve">efektyviai yra išleistas biudžeto sandaros įstatymas. </w:t>
      </w:r>
      <w:r w:rsidR="00583770" w:rsidRPr="0045688D">
        <w:rPr>
          <w:rFonts w:cs="Times New Roman"/>
        </w:rPr>
        <w:t xml:space="preserve">Lietuvos Respublikos valstybės biudžeto asignavimai skiriami šioms valstybės reikmėms: </w:t>
      </w:r>
      <w:r w:rsidR="006B1FCE" w:rsidRPr="0045688D">
        <w:rPr>
          <w:rFonts w:cs="Times New Roman"/>
        </w:rPr>
        <w:t xml:space="preserve">bendrosioms valstybės paslaugoms; gynybai; viešajai tvarkai ir visuomeninei apsaugai; ekonomikai; aplinkos apsaugai; </w:t>
      </w:r>
      <w:r w:rsidR="000D65D7" w:rsidRPr="0045688D">
        <w:rPr>
          <w:rFonts w:cs="Times New Roman"/>
        </w:rPr>
        <w:t>būstui ir komunaliniam ūkiui; sveikatos apsaugai; poilsiui, kultūrai ir religijai; švietimui</w:t>
      </w:r>
      <w:r w:rsidR="006A7A54" w:rsidRPr="0045688D">
        <w:rPr>
          <w:rFonts w:cs="Times New Roman"/>
        </w:rPr>
        <w:t xml:space="preserve">; socialinei apsaugai. </w:t>
      </w:r>
    </w:p>
    <w:p w14:paraId="430FCADB" w14:textId="28CC098F" w:rsidR="00497A93" w:rsidRPr="0045688D" w:rsidRDefault="00497A93" w:rsidP="00F411EC">
      <w:pPr>
        <w:rPr>
          <w:rFonts w:cs="Times New Roman"/>
        </w:rPr>
      </w:pPr>
    </w:p>
    <w:p w14:paraId="3D4065E0" w14:textId="048B497A" w:rsidR="00DE391A" w:rsidRDefault="00DE391A" w:rsidP="00E72EE6">
      <w:pPr>
        <w:ind w:firstLine="0"/>
        <w:jc w:val="center"/>
        <w:rPr>
          <w:rFonts w:cs="Times New Roman"/>
          <w:b/>
          <w:bCs/>
          <w:sz w:val="24"/>
          <w:szCs w:val="24"/>
        </w:rPr>
      </w:pPr>
      <w:r w:rsidRPr="0045688D">
        <w:rPr>
          <w:rFonts w:cs="Times New Roman"/>
          <w:b/>
          <w:bCs/>
          <w:sz w:val="24"/>
          <w:szCs w:val="24"/>
        </w:rPr>
        <w:t>Analizė</w:t>
      </w:r>
    </w:p>
    <w:p w14:paraId="0985879F" w14:textId="59229ADA" w:rsidR="002403D4" w:rsidRPr="0045688D" w:rsidRDefault="002403D4" w:rsidP="00974FEC"/>
    <w:p w14:paraId="1F9E9205" w14:textId="6F32EEFA" w:rsidR="00DE391A" w:rsidRDefault="002D1A19" w:rsidP="00F411EC">
      <w:pPr>
        <w:rPr>
          <w:rFonts w:cs="Times New Roman"/>
        </w:rPr>
      </w:pPr>
      <w:r>
        <w:rPr>
          <w:rFonts w:cs="Times New Roman"/>
        </w:rPr>
        <w:t xml:space="preserve">Valstybės biudžeto išlaidų struktūra ir pokyčiai analizuojami pasitelkus </w:t>
      </w:r>
      <w:r>
        <w:rPr>
          <w:rFonts w:cs="Times New Roman"/>
        </w:rPr>
        <w:fldChar w:fldCharType="begin"/>
      </w:r>
      <w:r>
        <w:rPr>
          <w:rFonts w:cs="Times New Roman"/>
        </w:rPr>
        <w:instrText xml:space="preserve"> REF _Ref56455831 \h </w:instrText>
      </w:r>
      <w:r>
        <w:rPr>
          <w:rFonts w:cs="Times New Roman"/>
        </w:rPr>
      </w:r>
      <w:r>
        <w:rPr>
          <w:rFonts w:cs="Times New Roman"/>
        </w:rPr>
        <w:fldChar w:fldCharType="separate"/>
      </w:r>
      <w:r>
        <w:t xml:space="preserve">lentelė </w:t>
      </w:r>
      <w:r>
        <w:rPr>
          <w:noProof/>
        </w:rPr>
        <w:t>1</w:t>
      </w:r>
      <w:r w:rsidRPr="00C5791F">
        <w:t xml:space="preserve"> „Valstybės biudžeto asignavimų struktūra 2015 - 2019 m.“</w:t>
      </w:r>
      <w:r>
        <w:rPr>
          <w:rFonts w:cs="Times New Roman"/>
        </w:rPr>
        <w:fldChar w:fldCharType="end"/>
      </w:r>
      <w:r w:rsidR="002403D4">
        <w:rPr>
          <w:rFonts w:cs="Times New Roman"/>
        </w:rPr>
        <w:t xml:space="preserve">. </w:t>
      </w:r>
    </w:p>
    <w:p w14:paraId="1006DCC4" w14:textId="6004FFCA" w:rsidR="008E0BAE" w:rsidRPr="0045688D" w:rsidRDefault="008E0BAE" w:rsidP="00F411EC">
      <w:pPr>
        <w:rPr>
          <w:rFonts w:cs="Times New Roman"/>
        </w:rPr>
      </w:pPr>
      <w:r>
        <w:rPr>
          <w:rFonts w:cs="Times New Roman"/>
        </w:rPr>
        <w:t xml:space="preserve">2015 metų valstybės biudžeto </w:t>
      </w:r>
      <w:r w:rsidR="000117EB">
        <w:rPr>
          <w:rFonts w:cs="Times New Roman"/>
        </w:rPr>
        <w:t>asignavimų suma siekė 8 080 017,2 tūkst. Eur.</w:t>
      </w:r>
      <w:r>
        <w:rPr>
          <w:rFonts w:cs="Times New Roman"/>
        </w:rPr>
        <w:t xml:space="preserve"> </w:t>
      </w:r>
      <w:r w:rsidR="00D40F1E">
        <w:rPr>
          <w:rFonts w:cs="Times New Roman"/>
        </w:rPr>
        <w:t>Šios lėšos atitinkamai buvo paskirstytos: bendrosios valstybės paslaugoms 1 449 463,4 tūkst. Eur, gynybai buvo skirta 480 541,4 tūkst. Eur, viešajai tvarkai ir visuomenės apsaugai 593 217,0 tūkst. Eur, ekonomikai 2 148 470,9 tūkst. Eur</w:t>
      </w:r>
      <w:r w:rsidR="007825BE">
        <w:rPr>
          <w:rFonts w:cs="Times New Roman"/>
        </w:rPr>
        <w:t xml:space="preserve">, aplinkos apsaugai 259 197,4 tūkst. Eur, būstui ir komunaliniam ūkiui 163 121,7 tūkst. Eur, sveikatos apsaugai 560 531,1 tūkst. Eur, poilsiui, kultūrai ir religijai </w:t>
      </w:r>
      <w:r w:rsidR="002E73A6">
        <w:rPr>
          <w:rFonts w:cs="Times New Roman"/>
        </w:rPr>
        <w:t>2</w:t>
      </w:r>
      <w:r w:rsidR="007825BE">
        <w:rPr>
          <w:rFonts w:cs="Times New Roman"/>
        </w:rPr>
        <w:t xml:space="preserve">19 092,5 tūkst. Eur, švietimui 1 247 749,1 tūkst. Eur, socialinei apsaugai buvo skirta 958 632,7 tūkst. Eur.  </w:t>
      </w:r>
    </w:p>
    <w:p w14:paraId="3DB96A65" w14:textId="74AB20D1" w:rsidR="00800D1C" w:rsidRDefault="00F278AC" w:rsidP="00F411EC">
      <w:pPr>
        <w:rPr>
          <w:rFonts w:cs="Times New Roman"/>
        </w:rPr>
      </w:pPr>
      <w:r>
        <w:rPr>
          <w:rFonts w:cs="Times New Roman"/>
        </w:rPr>
        <w:t xml:space="preserve">2016 metų </w:t>
      </w:r>
      <w:r w:rsidR="00933AC4">
        <w:rPr>
          <w:rFonts w:cs="Times New Roman"/>
        </w:rPr>
        <w:t xml:space="preserve">valstybės biudžeto </w:t>
      </w:r>
      <w:r>
        <w:rPr>
          <w:rFonts w:cs="Times New Roman"/>
        </w:rPr>
        <w:t xml:space="preserve">asignavimų suma siekė </w:t>
      </w:r>
      <w:r w:rsidR="00933AC4">
        <w:rPr>
          <w:rFonts w:cs="Times New Roman"/>
        </w:rPr>
        <w:t>7 92</w:t>
      </w:r>
      <w:r w:rsidR="00FE5CF5">
        <w:rPr>
          <w:rFonts w:cs="Times New Roman"/>
        </w:rPr>
        <w:t>5 77</w:t>
      </w:r>
      <w:r w:rsidR="004F626F">
        <w:rPr>
          <w:rFonts w:cs="Times New Roman"/>
        </w:rPr>
        <w:t>7,5 tūkst. Eur</w:t>
      </w:r>
      <w:r w:rsidR="009673A2">
        <w:rPr>
          <w:rFonts w:cs="Times New Roman"/>
        </w:rPr>
        <w:t>, tai yra 1,91% mažiau nei 2015</w:t>
      </w:r>
      <w:r w:rsidR="0009279B">
        <w:rPr>
          <w:rFonts w:cs="Times New Roman"/>
        </w:rPr>
        <w:t xml:space="preserve"> </w:t>
      </w:r>
      <w:r w:rsidR="009673A2">
        <w:rPr>
          <w:rFonts w:cs="Times New Roman"/>
        </w:rPr>
        <w:t>m</w:t>
      </w:r>
      <w:r w:rsidR="0009279B">
        <w:rPr>
          <w:rFonts w:cs="Times New Roman"/>
        </w:rPr>
        <w:t>etų</w:t>
      </w:r>
      <w:r w:rsidR="009673A2">
        <w:rPr>
          <w:rFonts w:cs="Times New Roman"/>
        </w:rPr>
        <w:t xml:space="preserve"> </w:t>
      </w:r>
      <w:r w:rsidR="00382C49">
        <w:rPr>
          <w:rFonts w:cs="Times New Roman"/>
        </w:rPr>
        <w:t xml:space="preserve">valstybės biudžeto išlaidų suma. Šios biudžeto lėšos atitinkamai buvo paskirstytos: </w:t>
      </w:r>
      <w:r w:rsidR="00841616">
        <w:rPr>
          <w:rFonts w:cs="Times New Roman"/>
        </w:rPr>
        <w:t>bendrosios valstybės paslaugoms 1 478 481,6 tūkst. Eur</w:t>
      </w:r>
      <w:r w:rsidR="00F66A22">
        <w:rPr>
          <w:rFonts w:cs="Times New Roman"/>
        </w:rPr>
        <w:t>,</w:t>
      </w:r>
      <w:r w:rsidR="00C602A3">
        <w:rPr>
          <w:rFonts w:cs="Times New Roman"/>
        </w:rPr>
        <w:t xml:space="preserve"> lyginant su 2015 m. duomenimis, </w:t>
      </w:r>
      <w:r w:rsidR="005A4398">
        <w:rPr>
          <w:rFonts w:cs="Times New Roman"/>
        </w:rPr>
        <w:t>l</w:t>
      </w:r>
      <w:r w:rsidR="00F66522">
        <w:rPr>
          <w:rFonts w:cs="Times New Roman"/>
        </w:rPr>
        <w:t>ėšos</w:t>
      </w:r>
      <w:r w:rsidR="009F2C58">
        <w:rPr>
          <w:rFonts w:cs="Times New Roman"/>
        </w:rPr>
        <w:t xml:space="preserve"> padidėjo 2%.</w:t>
      </w:r>
      <w:r w:rsidR="00841616">
        <w:rPr>
          <w:rFonts w:cs="Times New Roman"/>
        </w:rPr>
        <w:t xml:space="preserve"> </w:t>
      </w:r>
      <w:r w:rsidR="009F2C58">
        <w:rPr>
          <w:rFonts w:cs="Times New Roman"/>
        </w:rPr>
        <w:t>G</w:t>
      </w:r>
      <w:r w:rsidR="00841616">
        <w:rPr>
          <w:rFonts w:cs="Times New Roman"/>
        </w:rPr>
        <w:t>ynybai buvo skirta 642 428,2 tūkst. Eur,</w:t>
      </w:r>
      <w:r w:rsidR="009F2C58">
        <w:rPr>
          <w:rFonts w:cs="Times New Roman"/>
        </w:rPr>
        <w:t xml:space="preserve"> lyginant su 2015 m. duomenimis</w:t>
      </w:r>
      <w:r w:rsidR="00705F56">
        <w:rPr>
          <w:rFonts w:cs="Times New Roman"/>
        </w:rPr>
        <w:t xml:space="preserve">, </w:t>
      </w:r>
      <w:r w:rsidR="00F66522">
        <w:rPr>
          <w:rFonts w:cs="Times New Roman"/>
        </w:rPr>
        <w:t>valstybės biudžeto lėšos, skirtos gynybai,</w:t>
      </w:r>
      <w:r w:rsidR="00705F56">
        <w:rPr>
          <w:rFonts w:cs="Times New Roman"/>
        </w:rPr>
        <w:t xml:space="preserve"> padidėjo net 33,69%.</w:t>
      </w:r>
      <w:r w:rsidR="00841616">
        <w:rPr>
          <w:rFonts w:cs="Times New Roman"/>
        </w:rPr>
        <w:t xml:space="preserve"> </w:t>
      </w:r>
      <w:r w:rsidR="00705F56">
        <w:rPr>
          <w:rFonts w:cs="Times New Roman"/>
        </w:rPr>
        <w:t>V</w:t>
      </w:r>
      <w:r w:rsidR="00841616">
        <w:rPr>
          <w:rFonts w:cs="Times New Roman"/>
        </w:rPr>
        <w:t>iešajai tvarkai ir visuomenės apsaugai 571 336,9 tūkst. Eur,</w:t>
      </w:r>
      <w:r w:rsidR="00705F56">
        <w:rPr>
          <w:rFonts w:cs="Times New Roman"/>
        </w:rPr>
        <w:t xml:space="preserve"> </w:t>
      </w:r>
      <w:r w:rsidR="00776447">
        <w:rPr>
          <w:rFonts w:cs="Times New Roman"/>
        </w:rPr>
        <w:t>išlaidos, palyginus su 2015 m. duomenimis, sumažėjo 3,36%.</w:t>
      </w:r>
      <w:r w:rsidR="00841616">
        <w:rPr>
          <w:rFonts w:cs="Times New Roman"/>
        </w:rPr>
        <w:t xml:space="preserve"> </w:t>
      </w:r>
      <w:r w:rsidR="00776447">
        <w:rPr>
          <w:rFonts w:cs="Times New Roman"/>
        </w:rPr>
        <w:t>E</w:t>
      </w:r>
      <w:r w:rsidR="00841616">
        <w:rPr>
          <w:rFonts w:cs="Times New Roman"/>
        </w:rPr>
        <w:t>konomikai 2 015 986,6 tūkst. Eur,</w:t>
      </w:r>
      <w:r w:rsidR="00776447">
        <w:rPr>
          <w:rFonts w:cs="Times New Roman"/>
        </w:rPr>
        <w:t xml:space="preserve"> tai būtų </w:t>
      </w:r>
      <w:r w:rsidR="003305BC">
        <w:rPr>
          <w:rFonts w:cs="Times New Roman"/>
        </w:rPr>
        <w:t>6,17% mažiau nei 2015 m.</w:t>
      </w:r>
      <w:r w:rsidR="00841616">
        <w:rPr>
          <w:rFonts w:cs="Times New Roman"/>
        </w:rPr>
        <w:t xml:space="preserve"> </w:t>
      </w:r>
      <w:r w:rsidR="003305BC">
        <w:rPr>
          <w:rFonts w:cs="Times New Roman"/>
        </w:rPr>
        <w:t>A</w:t>
      </w:r>
      <w:r w:rsidR="00841616">
        <w:rPr>
          <w:rFonts w:cs="Times New Roman"/>
        </w:rPr>
        <w:t xml:space="preserve">plinkos apsaugai 131 324,6 tūkst. Eur, </w:t>
      </w:r>
      <w:r w:rsidR="003305BC">
        <w:rPr>
          <w:rFonts w:cs="Times New Roman"/>
        </w:rPr>
        <w:t xml:space="preserve">lyginant su 2015 m. duomenimis, tai būtų </w:t>
      </w:r>
      <w:r w:rsidR="00AB71E2">
        <w:rPr>
          <w:rFonts w:cs="Times New Roman"/>
        </w:rPr>
        <w:t>49,33% mažiau. B</w:t>
      </w:r>
      <w:r w:rsidR="00841616">
        <w:rPr>
          <w:rFonts w:cs="Times New Roman"/>
        </w:rPr>
        <w:t xml:space="preserve">ūstui ir komunaliniam ūkiui </w:t>
      </w:r>
      <w:r w:rsidR="005E30AC">
        <w:rPr>
          <w:rFonts w:cs="Times New Roman"/>
        </w:rPr>
        <w:t xml:space="preserve">108 637,4 </w:t>
      </w:r>
      <w:r w:rsidR="00841616">
        <w:rPr>
          <w:rFonts w:cs="Times New Roman"/>
        </w:rPr>
        <w:t>tūkst. Eur,</w:t>
      </w:r>
      <w:r w:rsidR="00AB71E2">
        <w:rPr>
          <w:rFonts w:cs="Times New Roman"/>
        </w:rPr>
        <w:t xml:space="preserve"> tai būtų 33,4% mažiau, nei 2015 m. valstybės biudžeto </w:t>
      </w:r>
      <w:r w:rsidR="00196C73">
        <w:rPr>
          <w:rFonts w:cs="Times New Roman"/>
        </w:rPr>
        <w:t xml:space="preserve">lėšos </w:t>
      </w:r>
      <w:r w:rsidR="00AB71E2">
        <w:rPr>
          <w:rFonts w:cs="Times New Roman"/>
        </w:rPr>
        <w:t>būstui ir komunaliniam ūkiui.</w:t>
      </w:r>
      <w:r w:rsidR="00841616">
        <w:rPr>
          <w:rFonts w:cs="Times New Roman"/>
        </w:rPr>
        <w:t xml:space="preserve"> </w:t>
      </w:r>
      <w:r w:rsidR="0033551A">
        <w:rPr>
          <w:rFonts w:cs="Times New Roman"/>
        </w:rPr>
        <w:t>S</w:t>
      </w:r>
      <w:r w:rsidR="00841616">
        <w:rPr>
          <w:rFonts w:cs="Times New Roman"/>
        </w:rPr>
        <w:t>veikatos apsaugai 5</w:t>
      </w:r>
      <w:r w:rsidR="005E30AC">
        <w:rPr>
          <w:rFonts w:cs="Times New Roman"/>
        </w:rPr>
        <w:t>54</w:t>
      </w:r>
      <w:r w:rsidR="00841616">
        <w:rPr>
          <w:rFonts w:cs="Times New Roman"/>
        </w:rPr>
        <w:t xml:space="preserve"> </w:t>
      </w:r>
      <w:r w:rsidR="007321D2">
        <w:rPr>
          <w:rFonts w:cs="Times New Roman"/>
        </w:rPr>
        <w:t>925,5</w:t>
      </w:r>
      <w:r w:rsidR="00841616">
        <w:rPr>
          <w:rFonts w:cs="Times New Roman"/>
        </w:rPr>
        <w:t xml:space="preserve"> tūkst. Eur,</w:t>
      </w:r>
      <w:r w:rsidR="0033551A">
        <w:rPr>
          <w:rFonts w:cs="Times New Roman"/>
        </w:rPr>
        <w:t xml:space="preserve"> lyginant su 2015 m</w:t>
      </w:r>
      <w:r w:rsidR="00FE036A">
        <w:rPr>
          <w:rFonts w:cs="Times New Roman"/>
        </w:rPr>
        <w:t>etų</w:t>
      </w:r>
      <w:r w:rsidR="0033551A">
        <w:rPr>
          <w:rFonts w:cs="Times New Roman"/>
        </w:rPr>
        <w:t xml:space="preserve"> duomenimis, tai yra 1% mažiau</w:t>
      </w:r>
      <w:r w:rsidR="00764E85">
        <w:rPr>
          <w:rFonts w:cs="Times New Roman"/>
        </w:rPr>
        <w:t>.</w:t>
      </w:r>
      <w:r w:rsidR="00841616">
        <w:rPr>
          <w:rFonts w:cs="Times New Roman"/>
        </w:rPr>
        <w:t xml:space="preserve"> </w:t>
      </w:r>
      <w:r w:rsidR="00764E85">
        <w:rPr>
          <w:rFonts w:cs="Times New Roman"/>
        </w:rPr>
        <w:t>P</w:t>
      </w:r>
      <w:r w:rsidR="00841616">
        <w:rPr>
          <w:rFonts w:cs="Times New Roman"/>
        </w:rPr>
        <w:t xml:space="preserve">oilsiui, kultūrai ir religijai </w:t>
      </w:r>
      <w:r w:rsidR="00764E85">
        <w:rPr>
          <w:rFonts w:cs="Times New Roman"/>
        </w:rPr>
        <w:t xml:space="preserve">išlaidos siekė </w:t>
      </w:r>
      <w:r w:rsidR="005A1108">
        <w:rPr>
          <w:rFonts w:cs="Times New Roman"/>
        </w:rPr>
        <w:t>245 552,5</w:t>
      </w:r>
      <w:r w:rsidR="00841616">
        <w:rPr>
          <w:rFonts w:cs="Times New Roman"/>
        </w:rPr>
        <w:t xml:space="preserve"> tūkst. Eur,</w:t>
      </w:r>
      <w:r w:rsidR="00764E85">
        <w:rPr>
          <w:rFonts w:cs="Times New Roman"/>
        </w:rPr>
        <w:t xml:space="preserve"> tai yra </w:t>
      </w:r>
      <w:r w:rsidR="00AB43B9">
        <w:rPr>
          <w:rFonts w:cs="Times New Roman"/>
        </w:rPr>
        <w:t>12,08% daugiau, nei 2015 m</w:t>
      </w:r>
      <w:r w:rsidR="00AF493F">
        <w:rPr>
          <w:rFonts w:cs="Times New Roman"/>
        </w:rPr>
        <w:t>etais buvo skirta</w:t>
      </w:r>
      <w:r w:rsidR="00AB43B9">
        <w:rPr>
          <w:rFonts w:cs="Times New Roman"/>
        </w:rPr>
        <w:t>.</w:t>
      </w:r>
      <w:r w:rsidR="00841616">
        <w:rPr>
          <w:rFonts w:cs="Times New Roman"/>
        </w:rPr>
        <w:t xml:space="preserve"> </w:t>
      </w:r>
      <w:r w:rsidR="00AB43B9">
        <w:rPr>
          <w:rFonts w:cs="Times New Roman"/>
        </w:rPr>
        <w:t>Š</w:t>
      </w:r>
      <w:r w:rsidR="00841616">
        <w:rPr>
          <w:rFonts w:cs="Times New Roman"/>
        </w:rPr>
        <w:t xml:space="preserve">vietimui </w:t>
      </w:r>
      <w:r w:rsidR="005A1108">
        <w:rPr>
          <w:rFonts w:cs="Times New Roman"/>
        </w:rPr>
        <w:t>1 166 862,7</w:t>
      </w:r>
      <w:r w:rsidR="00841616">
        <w:rPr>
          <w:rFonts w:cs="Times New Roman"/>
        </w:rPr>
        <w:t xml:space="preserve"> tūkst. Eur,</w:t>
      </w:r>
      <w:r w:rsidR="00AB43B9">
        <w:rPr>
          <w:rFonts w:cs="Times New Roman"/>
        </w:rPr>
        <w:t xml:space="preserve"> lyginant su 2015 m</w:t>
      </w:r>
      <w:r w:rsidR="00AF493F">
        <w:rPr>
          <w:rFonts w:cs="Times New Roman"/>
        </w:rPr>
        <w:t>etų</w:t>
      </w:r>
      <w:r w:rsidR="00FE036A">
        <w:rPr>
          <w:rFonts w:cs="Times New Roman"/>
        </w:rPr>
        <w:t xml:space="preserve"> </w:t>
      </w:r>
      <w:r w:rsidR="00AB43B9">
        <w:rPr>
          <w:rFonts w:cs="Times New Roman"/>
        </w:rPr>
        <w:lastRenderedPageBreak/>
        <w:t xml:space="preserve">biudžeto duomenimis, tai yra </w:t>
      </w:r>
      <w:r w:rsidR="00574AA3">
        <w:rPr>
          <w:rFonts w:cs="Times New Roman"/>
        </w:rPr>
        <w:t>6,48% mažiau.</w:t>
      </w:r>
      <w:r w:rsidR="00841616">
        <w:rPr>
          <w:rFonts w:cs="Times New Roman"/>
        </w:rPr>
        <w:t xml:space="preserve"> </w:t>
      </w:r>
      <w:r w:rsidR="00574AA3">
        <w:rPr>
          <w:rFonts w:cs="Times New Roman"/>
        </w:rPr>
        <w:t>S</w:t>
      </w:r>
      <w:r w:rsidR="00841616">
        <w:rPr>
          <w:rFonts w:cs="Times New Roman"/>
        </w:rPr>
        <w:t xml:space="preserve">ocialinei apsaugai buvo skirta </w:t>
      </w:r>
      <w:r w:rsidR="005A1108">
        <w:rPr>
          <w:rFonts w:cs="Times New Roman"/>
        </w:rPr>
        <w:t>1 010 241,5</w:t>
      </w:r>
      <w:r w:rsidR="00841616">
        <w:rPr>
          <w:rFonts w:cs="Times New Roman"/>
        </w:rPr>
        <w:t xml:space="preserve"> tūkst. Eur</w:t>
      </w:r>
      <w:r w:rsidR="00574AA3">
        <w:rPr>
          <w:rFonts w:cs="Times New Roman"/>
        </w:rPr>
        <w:t>, lyginant su 2015 m. valstybės biudžeto išlaidomis, tai yra 5,38% daugiau.</w:t>
      </w:r>
    </w:p>
    <w:p w14:paraId="1E3526E8" w14:textId="0DDADC9B" w:rsidR="00A2495B" w:rsidRDefault="00A2495B" w:rsidP="007F078F">
      <w:pPr>
        <w:rPr>
          <w:rFonts w:cs="Times New Roman"/>
        </w:rPr>
      </w:pPr>
      <w:r>
        <w:rPr>
          <w:rFonts w:cs="Times New Roman"/>
        </w:rPr>
        <w:t xml:space="preserve">2017 metų valstybės biudžeto </w:t>
      </w:r>
      <w:r w:rsidR="002C1D2B">
        <w:rPr>
          <w:rFonts w:cs="Times New Roman"/>
        </w:rPr>
        <w:t xml:space="preserve">asignavimų suma siekė 8 119 800,3 tūkst. Eur, tai būtų </w:t>
      </w:r>
      <w:r w:rsidR="0009279B">
        <w:rPr>
          <w:rFonts w:cs="Times New Roman"/>
        </w:rPr>
        <w:t xml:space="preserve">2,45% daugiau, nei 2016 metų valstybės biudžeto asignavimų suma. </w:t>
      </w:r>
      <w:r w:rsidR="00FE036A">
        <w:rPr>
          <w:rFonts w:cs="Times New Roman"/>
        </w:rPr>
        <w:t>Šios lėšos atitinkamai buvo paskirstytos:</w:t>
      </w:r>
      <w:r w:rsidR="00B70E38">
        <w:rPr>
          <w:rFonts w:cs="Times New Roman"/>
        </w:rPr>
        <w:t xml:space="preserve"> </w:t>
      </w:r>
      <w:r w:rsidR="00FE036A">
        <w:rPr>
          <w:rFonts w:cs="Times New Roman"/>
        </w:rPr>
        <w:t xml:space="preserve">bendrosios valstybės paslaugoms </w:t>
      </w:r>
      <w:r w:rsidR="004352F7">
        <w:rPr>
          <w:rFonts w:cs="Times New Roman"/>
        </w:rPr>
        <w:t>1 400 982,5</w:t>
      </w:r>
      <w:r w:rsidR="00FE036A">
        <w:rPr>
          <w:rFonts w:cs="Times New Roman"/>
        </w:rPr>
        <w:t xml:space="preserve"> tūkst. Eur,</w:t>
      </w:r>
      <w:r w:rsidR="004352F7">
        <w:rPr>
          <w:rFonts w:cs="Times New Roman"/>
        </w:rPr>
        <w:t xml:space="preserve"> tai būtų 5,24% mažiau, nei 201</w:t>
      </w:r>
      <w:r w:rsidR="008355BC">
        <w:rPr>
          <w:rFonts w:cs="Times New Roman"/>
        </w:rPr>
        <w:t>6 metų valstybės biudžeto</w:t>
      </w:r>
      <w:r w:rsidR="00B70E38">
        <w:rPr>
          <w:rFonts w:cs="Times New Roman"/>
        </w:rPr>
        <w:t xml:space="preserve"> asignavimų bendrosioms valstybės paslaugoms suma.</w:t>
      </w:r>
      <w:r w:rsidR="00BC24A4">
        <w:rPr>
          <w:rFonts w:cs="Times New Roman"/>
        </w:rPr>
        <w:t xml:space="preserve"> G</w:t>
      </w:r>
      <w:r w:rsidR="00FE036A">
        <w:rPr>
          <w:rFonts w:cs="Times New Roman"/>
        </w:rPr>
        <w:t xml:space="preserve">ynybai buvo skirta </w:t>
      </w:r>
      <w:r w:rsidR="00B70E38">
        <w:rPr>
          <w:rFonts w:cs="Times New Roman"/>
        </w:rPr>
        <w:t>7</w:t>
      </w:r>
      <w:r w:rsidR="004E59A2">
        <w:rPr>
          <w:rFonts w:cs="Times New Roman"/>
        </w:rPr>
        <w:t>99 359,9</w:t>
      </w:r>
      <w:r w:rsidR="00FE036A">
        <w:rPr>
          <w:rFonts w:cs="Times New Roman"/>
        </w:rPr>
        <w:t xml:space="preserve"> tūkst. Eur,</w:t>
      </w:r>
      <w:r w:rsidR="004E59A2">
        <w:rPr>
          <w:rFonts w:cs="Times New Roman"/>
        </w:rPr>
        <w:t xml:space="preserve"> tai yra net 24,43% daugiau, nei 2016 m.</w:t>
      </w:r>
      <w:r w:rsidR="00560ECB">
        <w:rPr>
          <w:rFonts w:cs="Times New Roman"/>
        </w:rPr>
        <w:t xml:space="preserve"> </w:t>
      </w:r>
      <w:r w:rsidR="00BC24A4">
        <w:rPr>
          <w:rFonts w:cs="Times New Roman"/>
        </w:rPr>
        <w:t>V</w:t>
      </w:r>
      <w:r w:rsidR="00FE036A">
        <w:rPr>
          <w:rFonts w:cs="Times New Roman"/>
        </w:rPr>
        <w:t>iešajai tvarkai ir visuomenės apsaugai</w:t>
      </w:r>
      <w:r w:rsidR="00BC24A4">
        <w:rPr>
          <w:rFonts w:cs="Times New Roman"/>
        </w:rPr>
        <w:t xml:space="preserve"> buvo </w:t>
      </w:r>
      <w:r w:rsidR="004F3ADF">
        <w:rPr>
          <w:rFonts w:cs="Times New Roman"/>
        </w:rPr>
        <w:t>skirta</w:t>
      </w:r>
      <w:r w:rsidR="00FE036A">
        <w:rPr>
          <w:rFonts w:cs="Times New Roman"/>
        </w:rPr>
        <w:t xml:space="preserve"> </w:t>
      </w:r>
      <w:r w:rsidR="00BC24A4">
        <w:rPr>
          <w:rFonts w:cs="Times New Roman"/>
        </w:rPr>
        <w:t>6</w:t>
      </w:r>
      <w:r w:rsidR="00560ECB">
        <w:rPr>
          <w:rFonts w:cs="Times New Roman"/>
        </w:rPr>
        <w:t>28 841</w:t>
      </w:r>
      <w:r w:rsidR="00FE036A">
        <w:rPr>
          <w:rFonts w:cs="Times New Roman"/>
        </w:rPr>
        <w:t xml:space="preserve"> tūkst. Eur,</w:t>
      </w:r>
      <w:r w:rsidR="00560ECB">
        <w:rPr>
          <w:rFonts w:cs="Times New Roman"/>
        </w:rPr>
        <w:t xml:space="preserve"> lyginant su 2016 metų duomenimis, tai būtų 10,06% daugiau.</w:t>
      </w:r>
      <w:r w:rsidR="000D7564">
        <w:rPr>
          <w:rFonts w:cs="Times New Roman"/>
        </w:rPr>
        <w:t xml:space="preserve"> E</w:t>
      </w:r>
      <w:r w:rsidR="00FE036A">
        <w:rPr>
          <w:rFonts w:cs="Times New Roman"/>
        </w:rPr>
        <w:t xml:space="preserve">konomikai </w:t>
      </w:r>
      <w:r w:rsidR="00560ECB">
        <w:rPr>
          <w:rFonts w:cs="Times New Roman"/>
        </w:rPr>
        <w:t xml:space="preserve">buvo </w:t>
      </w:r>
      <w:r w:rsidR="0082786F">
        <w:rPr>
          <w:rFonts w:cs="Times New Roman"/>
        </w:rPr>
        <w:t>skirta</w:t>
      </w:r>
      <w:r w:rsidR="00560ECB">
        <w:rPr>
          <w:rFonts w:cs="Times New Roman"/>
        </w:rPr>
        <w:t xml:space="preserve"> 1 858 290,1</w:t>
      </w:r>
      <w:r w:rsidR="00FE036A">
        <w:rPr>
          <w:rFonts w:cs="Times New Roman"/>
        </w:rPr>
        <w:t xml:space="preserve"> tūkst. Eur,</w:t>
      </w:r>
      <w:r w:rsidR="00560ECB">
        <w:rPr>
          <w:rFonts w:cs="Times New Roman"/>
        </w:rPr>
        <w:t xml:space="preserve"> tai būtų </w:t>
      </w:r>
      <w:r w:rsidR="00E06819">
        <w:rPr>
          <w:rFonts w:cs="Times New Roman"/>
        </w:rPr>
        <w:t>7,82% mažiau, nei 2016 metais. A</w:t>
      </w:r>
      <w:r w:rsidR="00FE036A">
        <w:rPr>
          <w:rFonts w:cs="Times New Roman"/>
        </w:rPr>
        <w:t xml:space="preserve">plinkos apsaugai </w:t>
      </w:r>
      <w:r w:rsidR="00E06819">
        <w:rPr>
          <w:rFonts w:cs="Times New Roman"/>
        </w:rPr>
        <w:t>143 095,5</w:t>
      </w:r>
      <w:r w:rsidR="00FE036A">
        <w:rPr>
          <w:rFonts w:cs="Times New Roman"/>
        </w:rPr>
        <w:t xml:space="preserve"> tūkst. Eur,</w:t>
      </w:r>
      <w:r w:rsidR="00E06819">
        <w:rPr>
          <w:rFonts w:cs="Times New Roman"/>
        </w:rPr>
        <w:t xml:space="preserve"> lyginant su 2016 metų duomenimis, </w:t>
      </w:r>
      <w:r w:rsidR="0082786F">
        <w:rPr>
          <w:rFonts w:cs="Times New Roman"/>
        </w:rPr>
        <w:t>lėšos</w:t>
      </w:r>
      <w:r w:rsidR="00E06819">
        <w:rPr>
          <w:rFonts w:cs="Times New Roman"/>
        </w:rPr>
        <w:t xml:space="preserve"> būtų </w:t>
      </w:r>
      <w:r w:rsidR="000D7564">
        <w:rPr>
          <w:rFonts w:cs="Times New Roman"/>
        </w:rPr>
        <w:t>didesnės 8,96%.</w:t>
      </w:r>
      <w:r w:rsidR="001970EA">
        <w:rPr>
          <w:rFonts w:cs="Times New Roman"/>
        </w:rPr>
        <w:t xml:space="preserve"> </w:t>
      </w:r>
      <w:r w:rsidR="004500A6">
        <w:rPr>
          <w:rFonts w:cs="Times New Roman"/>
        </w:rPr>
        <w:t>B</w:t>
      </w:r>
      <w:r w:rsidR="00FE036A">
        <w:rPr>
          <w:rFonts w:cs="Times New Roman"/>
        </w:rPr>
        <w:t xml:space="preserve">ūstui ir komunaliniam ūkiui </w:t>
      </w:r>
      <w:r w:rsidR="004500A6">
        <w:rPr>
          <w:rFonts w:cs="Times New Roman"/>
        </w:rPr>
        <w:t xml:space="preserve">buvo </w:t>
      </w:r>
      <w:r w:rsidR="004F3ADF">
        <w:rPr>
          <w:rFonts w:cs="Times New Roman"/>
        </w:rPr>
        <w:t>skirta</w:t>
      </w:r>
      <w:r w:rsidR="004500A6">
        <w:rPr>
          <w:rFonts w:cs="Times New Roman"/>
        </w:rPr>
        <w:t xml:space="preserve"> 76</w:t>
      </w:r>
      <w:r w:rsidR="001970EA">
        <w:rPr>
          <w:rFonts w:cs="Times New Roman"/>
        </w:rPr>
        <w:t xml:space="preserve"> 251,5</w:t>
      </w:r>
      <w:r w:rsidR="00FE036A">
        <w:rPr>
          <w:rFonts w:cs="Times New Roman"/>
        </w:rPr>
        <w:t xml:space="preserve"> tūkst. Eur,</w:t>
      </w:r>
      <w:r w:rsidR="001970EA">
        <w:rPr>
          <w:rFonts w:cs="Times New Roman"/>
        </w:rPr>
        <w:t xml:space="preserve"> tai 29,81% mažiau, nei 2016 metais.</w:t>
      </w:r>
      <w:r w:rsidR="00264A7C">
        <w:rPr>
          <w:rFonts w:cs="Times New Roman"/>
        </w:rPr>
        <w:t xml:space="preserve"> </w:t>
      </w:r>
      <w:r w:rsidR="001970EA">
        <w:rPr>
          <w:rFonts w:cs="Times New Roman"/>
        </w:rPr>
        <w:t>S</w:t>
      </w:r>
      <w:r w:rsidR="00FE036A">
        <w:rPr>
          <w:rFonts w:cs="Times New Roman"/>
        </w:rPr>
        <w:t xml:space="preserve">veikatos apsaugai </w:t>
      </w:r>
      <w:r w:rsidR="001970EA">
        <w:rPr>
          <w:rFonts w:cs="Times New Roman"/>
        </w:rPr>
        <w:t>585 151,6</w:t>
      </w:r>
      <w:r w:rsidR="00FE036A">
        <w:rPr>
          <w:rFonts w:cs="Times New Roman"/>
        </w:rPr>
        <w:t xml:space="preserve"> tūkst. Eur,</w:t>
      </w:r>
      <w:r w:rsidR="001970EA">
        <w:rPr>
          <w:rFonts w:cs="Times New Roman"/>
        </w:rPr>
        <w:t xml:space="preserve"> lyginant su 2016 metų duomenimis, </w:t>
      </w:r>
      <w:r w:rsidR="0082786F">
        <w:rPr>
          <w:rFonts w:cs="Times New Roman"/>
        </w:rPr>
        <w:t>lėšos</w:t>
      </w:r>
      <w:r w:rsidR="001970EA">
        <w:rPr>
          <w:rFonts w:cs="Times New Roman"/>
        </w:rPr>
        <w:t xml:space="preserve"> būtų </w:t>
      </w:r>
      <w:r w:rsidR="00264A7C">
        <w:rPr>
          <w:rFonts w:cs="Times New Roman"/>
        </w:rPr>
        <w:t>5,45% didesnės.</w:t>
      </w:r>
      <w:r w:rsidR="00EC0909">
        <w:rPr>
          <w:rFonts w:cs="Times New Roman"/>
        </w:rPr>
        <w:t xml:space="preserve"> </w:t>
      </w:r>
      <w:r w:rsidR="00264A7C">
        <w:rPr>
          <w:rFonts w:cs="Times New Roman"/>
        </w:rPr>
        <w:t>P</w:t>
      </w:r>
      <w:r w:rsidR="00FE036A">
        <w:rPr>
          <w:rFonts w:cs="Times New Roman"/>
        </w:rPr>
        <w:t xml:space="preserve">oilsiui, kultūrai ir religijai </w:t>
      </w:r>
      <w:r w:rsidR="00264A7C">
        <w:rPr>
          <w:rFonts w:cs="Times New Roman"/>
        </w:rPr>
        <w:t>264 582,6</w:t>
      </w:r>
      <w:r w:rsidR="00FE036A">
        <w:rPr>
          <w:rFonts w:cs="Times New Roman"/>
        </w:rPr>
        <w:t xml:space="preserve"> tūkst. Eur,</w:t>
      </w:r>
      <w:r w:rsidR="00264A7C">
        <w:rPr>
          <w:rFonts w:cs="Times New Roman"/>
        </w:rPr>
        <w:t xml:space="preserve"> tai būtų 7,75% daugiau, nei 2016 metais buvo </w:t>
      </w:r>
      <w:r w:rsidR="004F3ADF">
        <w:rPr>
          <w:rFonts w:cs="Times New Roman"/>
        </w:rPr>
        <w:t>skirta.</w:t>
      </w:r>
      <w:r w:rsidR="007F078F">
        <w:rPr>
          <w:rFonts w:cs="Times New Roman"/>
        </w:rPr>
        <w:t xml:space="preserve"> </w:t>
      </w:r>
      <w:r w:rsidR="00EC0909">
        <w:rPr>
          <w:rFonts w:cs="Times New Roman"/>
        </w:rPr>
        <w:t>Š</w:t>
      </w:r>
      <w:r w:rsidR="00FE036A">
        <w:rPr>
          <w:rFonts w:cs="Times New Roman"/>
        </w:rPr>
        <w:t xml:space="preserve">vietimui </w:t>
      </w:r>
      <w:r w:rsidR="00EC0909">
        <w:rPr>
          <w:rFonts w:cs="Times New Roman"/>
        </w:rPr>
        <w:t xml:space="preserve">buvo skirta </w:t>
      </w:r>
      <w:r w:rsidR="00166940">
        <w:rPr>
          <w:rFonts w:cs="Times New Roman"/>
        </w:rPr>
        <w:t xml:space="preserve">5,56% daugiau, tai būtų </w:t>
      </w:r>
      <w:r w:rsidR="00FE036A">
        <w:rPr>
          <w:rFonts w:cs="Times New Roman"/>
        </w:rPr>
        <w:t xml:space="preserve">1 </w:t>
      </w:r>
      <w:r w:rsidR="00166940">
        <w:rPr>
          <w:rFonts w:cs="Times New Roman"/>
        </w:rPr>
        <w:t>231</w:t>
      </w:r>
      <w:r w:rsidR="00FE036A">
        <w:rPr>
          <w:rFonts w:cs="Times New Roman"/>
        </w:rPr>
        <w:t xml:space="preserve"> 7</w:t>
      </w:r>
      <w:r w:rsidR="007F078F">
        <w:rPr>
          <w:rFonts w:cs="Times New Roman"/>
        </w:rPr>
        <w:t>61</w:t>
      </w:r>
      <w:r w:rsidR="00FE036A">
        <w:rPr>
          <w:rFonts w:cs="Times New Roman"/>
        </w:rPr>
        <w:t>,</w:t>
      </w:r>
      <w:r w:rsidR="007F078F">
        <w:rPr>
          <w:rFonts w:cs="Times New Roman"/>
        </w:rPr>
        <w:t>4</w:t>
      </w:r>
      <w:r w:rsidR="00FE036A">
        <w:rPr>
          <w:rFonts w:cs="Times New Roman"/>
        </w:rPr>
        <w:t xml:space="preserve"> tūkst. Eur,</w:t>
      </w:r>
      <w:r w:rsidR="007F078F">
        <w:rPr>
          <w:rFonts w:cs="Times New Roman"/>
        </w:rPr>
        <w:t xml:space="preserve"> nei 2016 metais. S</w:t>
      </w:r>
      <w:r w:rsidR="00FE036A">
        <w:rPr>
          <w:rFonts w:cs="Times New Roman"/>
        </w:rPr>
        <w:t xml:space="preserve">ocialinei apsaugai buvo skirta </w:t>
      </w:r>
      <w:r w:rsidR="007F078F">
        <w:rPr>
          <w:rFonts w:cs="Times New Roman"/>
        </w:rPr>
        <w:t>12% daugiau biudžeto lėšų, nei 2016 metais, tai būtų 1</w:t>
      </w:r>
      <w:r w:rsidR="009C2003">
        <w:rPr>
          <w:rFonts w:cs="Times New Roman"/>
        </w:rPr>
        <w:t xml:space="preserve"> </w:t>
      </w:r>
      <w:r w:rsidR="007F078F">
        <w:rPr>
          <w:rFonts w:cs="Times New Roman"/>
        </w:rPr>
        <w:t>13</w:t>
      </w:r>
      <w:r w:rsidR="009C2003">
        <w:rPr>
          <w:rFonts w:cs="Times New Roman"/>
        </w:rPr>
        <w:t>1 484,2</w:t>
      </w:r>
      <w:r w:rsidR="00FE036A">
        <w:rPr>
          <w:rFonts w:cs="Times New Roman"/>
        </w:rPr>
        <w:t xml:space="preserve"> tūkst. Eur.</w:t>
      </w:r>
    </w:p>
    <w:p w14:paraId="1EEDCE5D" w14:textId="6DDECCB6" w:rsidR="006832C8" w:rsidRDefault="006832C8" w:rsidP="007F078F">
      <w:pPr>
        <w:rPr>
          <w:rFonts w:cs="Times New Roman"/>
        </w:rPr>
      </w:pPr>
      <w:r>
        <w:rPr>
          <w:rFonts w:cs="Times New Roman"/>
        </w:rPr>
        <w:t xml:space="preserve">2018 metų </w:t>
      </w:r>
      <w:r w:rsidR="00974FEC">
        <w:rPr>
          <w:rFonts w:cs="Times New Roman"/>
        </w:rPr>
        <w:t xml:space="preserve">valstybės biudžeto asignavimų suma siekė </w:t>
      </w:r>
      <w:r w:rsidR="002A4FE3">
        <w:rPr>
          <w:rFonts w:cs="Times New Roman"/>
        </w:rPr>
        <w:t>9</w:t>
      </w:r>
      <w:r w:rsidR="00D102A8">
        <w:rPr>
          <w:rFonts w:cs="Times New Roman"/>
        </w:rPr>
        <w:t xml:space="preserve"> </w:t>
      </w:r>
      <w:r w:rsidR="002A4FE3">
        <w:rPr>
          <w:rFonts w:cs="Times New Roman"/>
        </w:rPr>
        <w:t>56</w:t>
      </w:r>
      <w:r w:rsidR="00D102A8">
        <w:rPr>
          <w:rFonts w:cs="Times New Roman"/>
        </w:rPr>
        <w:t>0 309</w:t>
      </w:r>
      <w:r w:rsidR="00974FEC" w:rsidRPr="00974FEC">
        <w:rPr>
          <w:rFonts w:cs="Times New Roman"/>
        </w:rPr>
        <w:t xml:space="preserve"> tūkst. Eur, tai yra </w:t>
      </w:r>
      <w:r w:rsidR="002225C9">
        <w:rPr>
          <w:rFonts w:cs="Times New Roman"/>
        </w:rPr>
        <w:t>net 17,74</w:t>
      </w:r>
      <w:r w:rsidR="00974FEC" w:rsidRPr="00974FEC">
        <w:rPr>
          <w:rFonts w:cs="Times New Roman"/>
        </w:rPr>
        <w:t xml:space="preserve">% </w:t>
      </w:r>
      <w:r w:rsidR="002225C9">
        <w:rPr>
          <w:rFonts w:cs="Times New Roman"/>
        </w:rPr>
        <w:t>daugiau</w:t>
      </w:r>
      <w:r w:rsidR="00974FEC" w:rsidRPr="00974FEC">
        <w:rPr>
          <w:rFonts w:cs="Times New Roman"/>
        </w:rPr>
        <w:t xml:space="preserve"> nei 201</w:t>
      </w:r>
      <w:r w:rsidR="002225C9">
        <w:rPr>
          <w:rFonts w:cs="Times New Roman"/>
        </w:rPr>
        <w:t>7</w:t>
      </w:r>
      <w:r w:rsidR="00974FEC" w:rsidRPr="00974FEC">
        <w:rPr>
          <w:rFonts w:cs="Times New Roman"/>
        </w:rPr>
        <w:t xml:space="preserve"> metų valstybės</w:t>
      </w:r>
      <w:r w:rsidR="002225C9">
        <w:rPr>
          <w:rFonts w:cs="Times New Roman"/>
        </w:rPr>
        <w:t xml:space="preserve"> biudžeto lėšų suma</w:t>
      </w:r>
      <w:r w:rsidR="00974FEC" w:rsidRPr="00974FEC">
        <w:rPr>
          <w:rFonts w:cs="Times New Roman"/>
        </w:rPr>
        <w:t xml:space="preserve">. Šios biudžeto lėšos atitinkamai buvo paskirstytos: bendrosios valstybės paslaugoms </w:t>
      </w:r>
      <w:r w:rsidR="00601346">
        <w:rPr>
          <w:rFonts w:cs="Times New Roman"/>
        </w:rPr>
        <w:t>1 504 599</w:t>
      </w:r>
      <w:r w:rsidR="00974FEC" w:rsidRPr="00974FEC">
        <w:rPr>
          <w:rFonts w:cs="Times New Roman"/>
        </w:rPr>
        <w:t xml:space="preserve"> tūkst. Eur, lyginant su 201</w:t>
      </w:r>
      <w:r w:rsidR="00601346">
        <w:rPr>
          <w:rFonts w:cs="Times New Roman"/>
        </w:rPr>
        <w:t>7</w:t>
      </w:r>
      <w:r w:rsidR="00974FEC" w:rsidRPr="00974FEC">
        <w:rPr>
          <w:rFonts w:cs="Times New Roman"/>
        </w:rPr>
        <w:t xml:space="preserve"> m. duomenimis, </w:t>
      </w:r>
      <w:r w:rsidR="00601346">
        <w:rPr>
          <w:rFonts w:cs="Times New Roman"/>
        </w:rPr>
        <w:t>valstybės biudžeto lėš</w:t>
      </w:r>
      <w:r w:rsidR="00CE7EE0">
        <w:rPr>
          <w:rFonts w:cs="Times New Roman"/>
        </w:rPr>
        <w:t>os, skirtos bendro</w:t>
      </w:r>
      <w:r w:rsidR="003E528C">
        <w:rPr>
          <w:rFonts w:cs="Times New Roman"/>
        </w:rPr>
        <w:t>m</w:t>
      </w:r>
      <w:r w:rsidR="00CE7EE0">
        <w:rPr>
          <w:rFonts w:cs="Times New Roman"/>
        </w:rPr>
        <w:t>s valstybės paslaugoms,</w:t>
      </w:r>
      <w:r w:rsidR="00974FEC" w:rsidRPr="00974FEC">
        <w:rPr>
          <w:rFonts w:cs="Times New Roman"/>
        </w:rPr>
        <w:t xml:space="preserve"> padidėjo </w:t>
      </w:r>
      <w:r w:rsidR="003E528C">
        <w:rPr>
          <w:rFonts w:cs="Times New Roman"/>
        </w:rPr>
        <w:t>7,4</w:t>
      </w:r>
      <w:r w:rsidR="00974FEC" w:rsidRPr="00974FEC">
        <w:rPr>
          <w:rFonts w:cs="Times New Roman"/>
        </w:rPr>
        <w:t xml:space="preserve">%. Gynybai buvo skirta </w:t>
      </w:r>
      <w:r w:rsidR="003E528C">
        <w:rPr>
          <w:rFonts w:cs="Times New Roman"/>
        </w:rPr>
        <w:t>962 463</w:t>
      </w:r>
      <w:r w:rsidR="00974FEC" w:rsidRPr="00974FEC">
        <w:rPr>
          <w:rFonts w:cs="Times New Roman"/>
        </w:rPr>
        <w:t xml:space="preserve"> tūkst. Eur, lyginant su 201</w:t>
      </w:r>
      <w:r w:rsidR="003E528C">
        <w:rPr>
          <w:rFonts w:cs="Times New Roman"/>
        </w:rPr>
        <w:t>7</w:t>
      </w:r>
      <w:r w:rsidR="00974FEC" w:rsidRPr="00974FEC">
        <w:rPr>
          <w:rFonts w:cs="Times New Roman"/>
        </w:rPr>
        <w:t xml:space="preserve"> m. duomenimis, </w:t>
      </w:r>
      <w:r w:rsidR="003E528C">
        <w:rPr>
          <w:rFonts w:cs="Times New Roman"/>
        </w:rPr>
        <w:t>skirtos lėšos</w:t>
      </w:r>
      <w:r w:rsidR="00974FEC" w:rsidRPr="00974FEC">
        <w:rPr>
          <w:rFonts w:cs="Times New Roman"/>
        </w:rPr>
        <w:t xml:space="preserve"> padidėjo net </w:t>
      </w:r>
      <w:r w:rsidR="003E528C">
        <w:rPr>
          <w:rFonts w:cs="Times New Roman"/>
        </w:rPr>
        <w:t>20,4</w:t>
      </w:r>
      <w:r w:rsidR="00974FEC" w:rsidRPr="00974FEC">
        <w:rPr>
          <w:rFonts w:cs="Times New Roman"/>
        </w:rPr>
        <w:t xml:space="preserve">%. Viešajai tvarkai ir visuomenės apsaugai </w:t>
      </w:r>
      <w:r w:rsidR="003E528C">
        <w:rPr>
          <w:rFonts w:cs="Times New Roman"/>
        </w:rPr>
        <w:t>753 307</w:t>
      </w:r>
      <w:r w:rsidR="00974FEC" w:rsidRPr="00974FEC">
        <w:rPr>
          <w:rFonts w:cs="Times New Roman"/>
        </w:rPr>
        <w:t xml:space="preserve"> tūkst. Eur, </w:t>
      </w:r>
      <w:r w:rsidR="003E528C">
        <w:rPr>
          <w:rFonts w:cs="Times New Roman"/>
        </w:rPr>
        <w:t>skirtos lėšos</w:t>
      </w:r>
      <w:r w:rsidR="00974FEC" w:rsidRPr="00974FEC">
        <w:rPr>
          <w:rFonts w:cs="Times New Roman"/>
        </w:rPr>
        <w:t>, palyginus su 201</w:t>
      </w:r>
      <w:r w:rsidR="003E528C">
        <w:rPr>
          <w:rFonts w:cs="Times New Roman"/>
        </w:rPr>
        <w:t>7</w:t>
      </w:r>
      <w:r w:rsidR="00974FEC" w:rsidRPr="00974FEC">
        <w:rPr>
          <w:rFonts w:cs="Times New Roman"/>
        </w:rPr>
        <w:t xml:space="preserve"> m. duomenimis, </w:t>
      </w:r>
      <w:r w:rsidR="003E528C">
        <w:rPr>
          <w:rFonts w:cs="Times New Roman"/>
        </w:rPr>
        <w:t>padidėjo 19,79</w:t>
      </w:r>
      <w:r w:rsidR="00974FEC" w:rsidRPr="00974FEC">
        <w:rPr>
          <w:rFonts w:cs="Times New Roman"/>
        </w:rPr>
        <w:t xml:space="preserve">%. Ekonomikai </w:t>
      </w:r>
      <w:r w:rsidR="005A4398">
        <w:rPr>
          <w:rFonts w:cs="Times New Roman"/>
        </w:rPr>
        <w:t>2 295 401</w:t>
      </w:r>
      <w:r w:rsidR="00974FEC" w:rsidRPr="00974FEC">
        <w:rPr>
          <w:rFonts w:cs="Times New Roman"/>
        </w:rPr>
        <w:t xml:space="preserve"> tūkst. Eur, tai būtų </w:t>
      </w:r>
      <w:r w:rsidR="000F4284">
        <w:rPr>
          <w:rFonts w:cs="Times New Roman"/>
        </w:rPr>
        <w:t>23,52</w:t>
      </w:r>
      <w:r w:rsidR="00974FEC" w:rsidRPr="00974FEC">
        <w:rPr>
          <w:rFonts w:cs="Times New Roman"/>
        </w:rPr>
        <w:t xml:space="preserve">% </w:t>
      </w:r>
      <w:r w:rsidR="000F4284">
        <w:rPr>
          <w:rFonts w:cs="Times New Roman"/>
        </w:rPr>
        <w:t>daugiau</w:t>
      </w:r>
      <w:r w:rsidR="00974FEC" w:rsidRPr="00974FEC">
        <w:rPr>
          <w:rFonts w:cs="Times New Roman"/>
        </w:rPr>
        <w:t xml:space="preserve"> nei 201</w:t>
      </w:r>
      <w:r w:rsidR="000F4284">
        <w:rPr>
          <w:rFonts w:cs="Times New Roman"/>
        </w:rPr>
        <w:t>7</w:t>
      </w:r>
      <w:r w:rsidR="00974FEC" w:rsidRPr="00974FEC">
        <w:rPr>
          <w:rFonts w:cs="Times New Roman"/>
        </w:rPr>
        <w:t xml:space="preserve"> m. Aplinkos apsaugai </w:t>
      </w:r>
      <w:r w:rsidR="000F4284">
        <w:rPr>
          <w:rFonts w:cs="Times New Roman"/>
        </w:rPr>
        <w:t>181 895</w:t>
      </w:r>
      <w:r w:rsidR="00974FEC" w:rsidRPr="00974FEC">
        <w:rPr>
          <w:rFonts w:cs="Times New Roman"/>
        </w:rPr>
        <w:t xml:space="preserve"> tūkst. Eur, lyginant su 201</w:t>
      </w:r>
      <w:r w:rsidR="00AC6A6C">
        <w:rPr>
          <w:rFonts w:cs="Times New Roman"/>
        </w:rPr>
        <w:t>7</w:t>
      </w:r>
      <w:r w:rsidR="00974FEC" w:rsidRPr="00974FEC">
        <w:rPr>
          <w:rFonts w:cs="Times New Roman"/>
        </w:rPr>
        <w:t xml:space="preserve"> m. duomenimis, tai būtų </w:t>
      </w:r>
      <w:r w:rsidR="00AC6A6C">
        <w:rPr>
          <w:rFonts w:cs="Times New Roman"/>
        </w:rPr>
        <w:t>27,11</w:t>
      </w:r>
      <w:r w:rsidR="00974FEC" w:rsidRPr="00974FEC">
        <w:rPr>
          <w:rFonts w:cs="Times New Roman"/>
        </w:rPr>
        <w:t xml:space="preserve">% </w:t>
      </w:r>
      <w:r w:rsidR="00AC6A6C">
        <w:rPr>
          <w:rFonts w:cs="Times New Roman"/>
        </w:rPr>
        <w:t>daugiau</w:t>
      </w:r>
      <w:r w:rsidR="00974FEC" w:rsidRPr="00974FEC">
        <w:rPr>
          <w:rFonts w:cs="Times New Roman"/>
        </w:rPr>
        <w:t xml:space="preserve">. Būstui ir komunaliniam ūkiui </w:t>
      </w:r>
      <w:r w:rsidR="00196763">
        <w:rPr>
          <w:rFonts w:cs="Times New Roman"/>
        </w:rPr>
        <w:t>78 226</w:t>
      </w:r>
      <w:r w:rsidR="00974FEC" w:rsidRPr="00974FEC">
        <w:rPr>
          <w:rFonts w:cs="Times New Roman"/>
        </w:rPr>
        <w:t xml:space="preserve"> tūkst. Eur, tai būtų </w:t>
      </w:r>
      <w:r w:rsidR="00196763">
        <w:rPr>
          <w:rFonts w:cs="Times New Roman"/>
        </w:rPr>
        <w:t>2,59</w:t>
      </w:r>
      <w:r w:rsidR="00974FEC" w:rsidRPr="00974FEC">
        <w:rPr>
          <w:rFonts w:cs="Times New Roman"/>
        </w:rPr>
        <w:t xml:space="preserve">% </w:t>
      </w:r>
      <w:r w:rsidR="00196763">
        <w:rPr>
          <w:rFonts w:cs="Times New Roman"/>
        </w:rPr>
        <w:t>daugiau</w:t>
      </w:r>
      <w:r w:rsidR="00974FEC" w:rsidRPr="00974FEC">
        <w:rPr>
          <w:rFonts w:cs="Times New Roman"/>
        </w:rPr>
        <w:t>, nei 201</w:t>
      </w:r>
      <w:r w:rsidR="00196763">
        <w:rPr>
          <w:rFonts w:cs="Times New Roman"/>
        </w:rPr>
        <w:t>7</w:t>
      </w:r>
      <w:r w:rsidR="00974FEC" w:rsidRPr="00974FEC">
        <w:rPr>
          <w:rFonts w:cs="Times New Roman"/>
        </w:rPr>
        <w:t xml:space="preserve"> m. valstybės biudžeto išlaidos būstui ir komunaliniam ūkiui. Sveikatos apsaugai </w:t>
      </w:r>
      <w:r w:rsidR="00196763">
        <w:rPr>
          <w:rFonts w:cs="Times New Roman"/>
        </w:rPr>
        <w:t>712 446</w:t>
      </w:r>
      <w:r w:rsidR="00974FEC" w:rsidRPr="00974FEC">
        <w:rPr>
          <w:rFonts w:cs="Times New Roman"/>
        </w:rPr>
        <w:t xml:space="preserve"> tūkst. Eur, lyginant su 201</w:t>
      </w:r>
      <w:r w:rsidR="00196763">
        <w:rPr>
          <w:rFonts w:cs="Times New Roman"/>
        </w:rPr>
        <w:t>7</w:t>
      </w:r>
      <w:r w:rsidR="00974FEC" w:rsidRPr="00974FEC">
        <w:rPr>
          <w:rFonts w:cs="Times New Roman"/>
        </w:rPr>
        <w:t xml:space="preserve"> metų duomenimis, tai yra </w:t>
      </w:r>
      <w:r w:rsidR="00196763">
        <w:rPr>
          <w:rFonts w:cs="Times New Roman"/>
        </w:rPr>
        <w:t>21,75</w:t>
      </w:r>
      <w:r w:rsidR="00974FEC" w:rsidRPr="00974FEC">
        <w:rPr>
          <w:rFonts w:cs="Times New Roman"/>
        </w:rPr>
        <w:t xml:space="preserve">% </w:t>
      </w:r>
      <w:r w:rsidR="00196763">
        <w:rPr>
          <w:rFonts w:cs="Times New Roman"/>
        </w:rPr>
        <w:t>daugiau</w:t>
      </w:r>
      <w:r w:rsidR="00974FEC" w:rsidRPr="00974FEC">
        <w:rPr>
          <w:rFonts w:cs="Times New Roman"/>
        </w:rPr>
        <w:t xml:space="preserve">. Poilsiui, kultūrai ir religijai išlaidos siekė </w:t>
      </w:r>
      <w:r w:rsidR="00A9650D">
        <w:rPr>
          <w:rFonts w:cs="Times New Roman"/>
        </w:rPr>
        <w:t>312 882</w:t>
      </w:r>
      <w:r w:rsidR="00974FEC" w:rsidRPr="00974FEC">
        <w:rPr>
          <w:rFonts w:cs="Times New Roman"/>
        </w:rPr>
        <w:t xml:space="preserve"> tūkst. Eur, </w:t>
      </w:r>
      <w:r w:rsidR="00974FEC" w:rsidRPr="00974FEC">
        <w:rPr>
          <w:rFonts w:cs="Times New Roman"/>
        </w:rPr>
        <w:t xml:space="preserve">tai yra </w:t>
      </w:r>
      <w:r w:rsidR="00A9650D">
        <w:rPr>
          <w:rFonts w:cs="Times New Roman"/>
        </w:rPr>
        <w:t>18,25</w:t>
      </w:r>
      <w:r w:rsidR="00974FEC" w:rsidRPr="00974FEC">
        <w:rPr>
          <w:rFonts w:cs="Times New Roman"/>
        </w:rPr>
        <w:t>% daugiau, nei 201</w:t>
      </w:r>
      <w:r w:rsidR="00A9650D">
        <w:rPr>
          <w:rFonts w:cs="Times New Roman"/>
        </w:rPr>
        <w:t>7</w:t>
      </w:r>
      <w:r w:rsidR="00974FEC" w:rsidRPr="00974FEC">
        <w:rPr>
          <w:rFonts w:cs="Times New Roman"/>
        </w:rPr>
        <w:t xml:space="preserve"> metais buvo skirta. Švietimui </w:t>
      </w:r>
      <w:r w:rsidR="00A9650D">
        <w:rPr>
          <w:rFonts w:cs="Times New Roman"/>
        </w:rPr>
        <w:t>1 331 839</w:t>
      </w:r>
      <w:r w:rsidR="00974FEC" w:rsidRPr="00974FEC">
        <w:rPr>
          <w:rFonts w:cs="Times New Roman"/>
        </w:rPr>
        <w:t xml:space="preserve"> tūkst. Eur, lyginant su 201</w:t>
      </w:r>
      <w:r w:rsidR="00A9650D">
        <w:rPr>
          <w:rFonts w:cs="Times New Roman"/>
        </w:rPr>
        <w:t>7</w:t>
      </w:r>
      <w:r w:rsidR="00974FEC" w:rsidRPr="00974FEC">
        <w:rPr>
          <w:rFonts w:cs="Times New Roman"/>
        </w:rPr>
        <w:t xml:space="preserve"> metų biudžeto duomenimis, tai yra </w:t>
      </w:r>
      <w:r w:rsidR="00A9650D">
        <w:rPr>
          <w:rFonts w:cs="Times New Roman"/>
        </w:rPr>
        <w:t>8,12</w:t>
      </w:r>
      <w:r w:rsidR="00974FEC" w:rsidRPr="00974FEC">
        <w:rPr>
          <w:rFonts w:cs="Times New Roman"/>
        </w:rPr>
        <w:t xml:space="preserve">% </w:t>
      </w:r>
      <w:r w:rsidR="00A9650D">
        <w:rPr>
          <w:rFonts w:cs="Times New Roman"/>
        </w:rPr>
        <w:t>daugiau</w:t>
      </w:r>
      <w:r w:rsidR="00974FEC" w:rsidRPr="00974FEC">
        <w:rPr>
          <w:rFonts w:cs="Times New Roman"/>
        </w:rPr>
        <w:t xml:space="preserve">. Socialinei apsaugai buvo skirta 1 </w:t>
      </w:r>
      <w:r w:rsidR="00DE7FC7">
        <w:rPr>
          <w:rFonts w:cs="Times New Roman"/>
        </w:rPr>
        <w:t>427</w:t>
      </w:r>
      <w:r w:rsidR="00974FEC" w:rsidRPr="00974FEC">
        <w:rPr>
          <w:rFonts w:cs="Times New Roman"/>
        </w:rPr>
        <w:t xml:space="preserve"> </w:t>
      </w:r>
      <w:r w:rsidR="00DE7FC7">
        <w:rPr>
          <w:rFonts w:cs="Times New Roman"/>
        </w:rPr>
        <w:t>725</w:t>
      </w:r>
      <w:r w:rsidR="00974FEC" w:rsidRPr="00974FEC">
        <w:rPr>
          <w:rFonts w:cs="Times New Roman"/>
        </w:rPr>
        <w:t>,</w:t>
      </w:r>
      <w:r w:rsidR="00DE7FC7">
        <w:rPr>
          <w:rFonts w:cs="Times New Roman"/>
        </w:rPr>
        <w:t>1</w:t>
      </w:r>
      <w:r w:rsidR="00974FEC" w:rsidRPr="00974FEC">
        <w:rPr>
          <w:rFonts w:cs="Times New Roman"/>
        </w:rPr>
        <w:t xml:space="preserve"> tūkst. Eur, lyginant su 201</w:t>
      </w:r>
      <w:r w:rsidR="00DE7FC7">
        <w:rPr>
          <w:rFonts w:cs="Times New Roman"/>
        </w:rPr>
        <w:t>7</w:t>
      </w:r>
      <w:r w:rsidR="00974FEC" w:rsidRPr="00974FEC">
        <w:rPr>
          <w:rFonts w:cs="Times New Roman"/>
        </w:rPr>
        <w:t xml:space="preserve"> m. valstybės biudžeto išlaidomis, tai yra </w:t>
      </w:r>
      <w:r w:rsidR="00DE7FC7">
        <w:rPr>
          <w:rFonts w:cs="Times New Roman"/>
        </w:rPr>
        <w:t>26,14</w:t>
      </w:r>
      <w:r w:rsidR="00974FEC" w:rsidRPr="00974FEC">
        <w:rPr>
          <w:rFonts w:cs="Times New Roman"/>
        </w:rPr>
        <w:t>% daugiau.</w:t>
      </w:r>
    </w:p>
    <w:p w14:paraId="32ACDF1B" w14:textId="678253EF" w:rsidR="0082786F" w:rsidRDefault="00C14AB2" w:rsidP="007F078F">
      <w:pPr>
        <w:rPr>
          <w:rFonts w:cs="Times New Roman"/>
        </w:rPr>
      </w:pPr>
      <w:r w:rsidRPr="0045688D">
        <w:rPr>
          <w:rFonts w:cs="Times New Roman"/>
          <w:noProof/>
        </w:rPr>
        <w:drawing>
          <wp:anchor distT="180340" distB="180340" distL="114300" distR="114300" simplePos="0" relativeHeight="251638784" behindDoc="0" locked="0" layoutInCell="1" allowOverlap="1" wp14:anchorId="248E6AB5" wp14:editId="544012C4">
            <wp:simplePos x="0" y="0"/>
            <wp:positionH relativeFrom="margin">
              <wp:align>right</wp:align>
            </wp:positionH>
            <wp:positionV relativeFrom="paragraph">
              <wp:posOffset>1787112</wp:posOffset>
            </wp:positionV>
            <wp:extent cx="6645600" cy="2869200"/>
            <wp:effectExtent l="0" t="0" r="3175" b="7620"/>
            <wp:wrapSquare wrapText="bothSides"/>
            <wp:docPr id="1" name="Diagrama 1">
              <a:extLst xmlns:a="http://schemas.openxmlformats.org/drawingml/2006/main">
                <a:ext uri="{FF2B5EF4-FFF2-40B4-BE49-F238E27FC236}">
                  <a16:creationId xmlns:a16="http://schemas.microsoft.com/office/drawing/2014/main" id="{446424CC-C0BE-4CFF-9047-F0F9F3C1615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82786F">
        <w:rPr>
          <w:rFonts w:cs="Times New Roman"/>
        </w:rPr>
        <w:t xml:space="preserve">2019 metų valstybės biudžeto asignavimų suma siekė </w:t>
      </w:r>
      <w:r w:rsidR="00EA50BC">
        <w:rPr>
          <w:rFonts w:cs="Times New Roman"/>
        </w:rPr>
        <w:t>11 681 216</w:t>
      </w:r>
      <w:r w:rsidR="0082786F">
        <w:rPr>
          <w:rFonts w:cs="Times New Roman"/>
        </w:rPr>
        <w:t xml:space="preserve"> tūkst. Eur, tai būtų </w:t>
      </w:r>
      <w:r w:rsidR="00EA50BC">
        <w:rPr>
          <w:rFonts w:cs="Times New Roman"/>
        </w:rPr>
        <w:t>22,18</w:t>
      </w:r>
      <w:r w:rsidR="0082786F">
        <w:rPr>
          <w:rFonts w:cs="Times New Roman"/>
        </w:rPr>
        <w:t>% daugiau, nei 201</w:t>
      </w:r>
      <w:r w:rsidR="00211B6F">
        <w:rPr>
          <w:rFonts w:cs="Times New Roman"/>
        </w:rPr>
        <w:t>8</w:t>
      </w:r>
      <w:r w:rsidR="0082786F">
        <w:rPr>
          <w:rFonts w:cs="Times New Roman"/>
        </w:rPr>
        <w:t xml:space="preserve"> metų valstybės biudžeto asignavimų suma. Šios lėšos atitinkamai buvo paskirstytos: bendrosios valstybės paslaugoms </w:t>
      </w:r>
      <w:r w:rsidR="009044C8">
        <w:rPr>
          <w:rFonts w:cs="Times New Roman"/>
        </w:rPr>
        <w:t>1 463 856</w:t>
      </w:r>
      <w:r w:rsidR="0082786F">
        <w:rPr>
          <w:rFonts w:cs="Times New Roman"/>
        </w:rPr>
        <w:t xml:space="preserve"> tūkst. Eur, tai būtų </w:t>
      </w:r>
      <w:r w:rsidR="009044C8">
        <w:rPr>
          <w:rFonts w:cs="Times New Roman"/>
        </w:rPr>
        <w:t>2,71</w:t>
      </w:r>
      <w:r w:rsidR="0082786F">
        <w:rPr>
          <w:rFonts w:cs="Times New Roman"/>
        </w:rPr>
        <w:t>% mažiau, nei 201</w:t>
      </w:r>
      <w:r w:rsidR="009044C8">
        <w:rPr>
          <w:rFonts w:cs="Times New Roman"/>
        </w:rPr>
        <w:t>8</w:t>
      </w:r>
      <w:r w:rsidR="0082786F">
        <w:rPr>
          <w:rFonts w:cs="Times New Roman"/>
        </w:rPr>
        <w:t xml:space="preserve"> metų valstybės biudžeto asignavimų bendrosioms valstybės paslaugoms suma. Gynybai buvo skirta </w:t>
      </w:r>
      <w:r w:rsidR="009044C8">
        <w:rPr>
          <w:rFonts w:cs="Times New Roman"/>
        </w:rPr>
        <w:t>1 026 256</w:t>
      </w:r>
      <w:r w:rsidR="0082786F">
        <w:rPr>
          <w:rFonts w:cs="Times New Roman"/>
        </w:rPr>
        <w:t xml:space="preserve"> tūkst. Eur, tai yra net </w:t>
      </w:r>
      <w:r w:rsidR="009044C8">
        <w:rPr>
          <w:rFonts w:cs="Times New Roman"/>
        </w:rPr>
        <w:t>6,63</w:t>
      </w:r>
      <w:r w:rsidR="0082786F">
        <w:rPr>
          <w:rFonts w:cs="Times New Roman"/>
        </w:rPr>
        <w:t>% daugiau, nei 201</w:t>
      </w:r>
      <w:r w:rsidR="009044C8">
        <w:rPr>
          <w:rFonts w:cs="Times New Roman"/>
        </w:rPr>
        <w:t>8</w:t>
      </w:r>
      <w:r w:rsidR="0082786F">
        <w:rPr>
          <w:rFonts w:cs="Times New Roman"/>
        </w:rPr>
        <w:t xml:space="preserve"> m. Viešajai tvarkai ir visuomenės apsaugai buvo skirta </w:t>
      </w:r>
      <w:r w:rsidR="009044C8">
        <w:rPr>
          <w:rFonts w:cs="Times New Roman"/>
        </w:rPr>
        <w:t>801 587</w:t>
      </w:r>
      <w:r w:rsidR="0082786F">
        <w:rPr>
          <w:rFonts w:cs="Times New Roman"/>
        </w:rPr>
        <w:t xml:space="preserve"> tūkst. Eur, lyginant su 201</w:t>
      </w:r>
      <w:r w:rsidR="009044C8">
        <w:rPr>
          <w:rFonts w:cs="Times New Roman"/>
        </w:rPr>
        <w:t>8</w:t>
      </w:r>
      <w:r w:rsidR="0082786F">
        <w:rPr>
          <w:rFonts w:cs="Times New Roman"/>
        </w:rPr>
        <w:t xml:space="preserve"> metų duomenimis, tai būtų </w:t>
      </w:r>
      <w:r w:rsidR="009044C8">
        <w:rPr>
          <w:rFonts w:cs="Times New Roman"/>
        </w:rPr>
        <w:t>6,41</w:t>
      </w:r>
      <w:r w:rsidR="0082786F">
        <w:rPr>
          <w:rFonts w:cs="Times New Roman"/>
        </w:rPr>
        <w:t xml:space="preserve">% daugiau. Ekonomikai buvo skirta </w:t>
      </w:r>
      <w:r w:rsidR="009044C8">
        <w:rPr>
          <w:rFonts w:cs="Times New Roman"/>
        </w:rPr>
        <w:t xml:space="preserve">2 213 876 </w:t>
      </w:r>
      <w:r w:rsidR="0082786F">
        <w:rPr>
          <w:rFonts w:cs="Times New Roman"/>
        </w:rPr>
        <w:t xml:space="preserve"> tūkst. Eur, tai būtų </w:t>
      </w:r>
      <w:r w:rsidR="00F17A48">
        <w:rPr>
          <w:rFonts w:cs="Times New Roman"/>
        </w:rPr>
        <w:t>3,55</w:t>
      </w:r>
      <w:r w:rsidR="0082786F">
        <w:rPr>
          <w:rFonts w:cs="Times New Roman"/>
        </w:rPr>
        <w:t>% mažiau, nei 201</w:t>
      </w:r>
      <w:r w:rsidR="00F17A48">
        <w:rPr>
          <w:rFonts w:cs="Times New Roman"/>
        </w:rPr>
        <w:t>8</w:t>
      </w:r>
      <w:r w:rsidR="0082786F">
        <w:rPr>
          <w:rFonts w:cs="Times New Roman"/>
        </w:rPr>
        <w:t xml:space="preserve"> metais. Aplinkos apsaugai </w:t>
      </w:r>
      <w:r w:rsidR="00F17A48">
        <w:rPr>
          <w:rFonts w:cs="Times New Roman"/>
        </w:rPr>
        <w:t>283 684</w:t>
      </w:r>
      <w:r w:rsidR="0082786F">
        <w:rPr>
          <w:rFonts w:cs="Times New Roman"/>
        </w:rPr>
        <w:t xml:space="preserve"> tūkst. Eur, lyginant su 201</w:t>
      </w:r>
      <w:r w:rsidR="00F17A48">
        <w:rPr>
          <w:rFonts w:cs="Times New Roman"/>
        </w:rPr>
        <w:t>8</w:t>
      </w:r>
      <w:r w:rsidR="0082786F">
        <w:rPr>
          <w:rFonts w:cs="Times New Roman"/>
        </w:rPr>
        <w:t xml:space="preserve"> metų duomenimis, lėšos būtų didesnės </w:t>
      </w:r>
      <w:r w:rsidR="00F17A48">
        <w:rPr>
          <w:rFonts w:cs="Times New Roman"/>
        </w:rPr>
        <w:t>net 55,96</w:t>
      </w:r>
      <w:r w:rsidR="0082786F">
        <w:rPr>
          <w:rFonts w:cs="Times New Roman"/>
        </w:rPr>
        <w:t xml:space="preserve">%. Būstui ir komunaliniam ūkiui buvo skirta </w:t>
      </w:r>
      <w:r w:rsidR="00F17A48">
        <w:rPr>
          <w:rFonts w:cs="Times New Roman"/>
        </w:rPr>
        <w:t>93 407</w:t>
      </w:r>
      <w:r w:rsidR="0082786F">
        <w:rPr>
          <w:rFonts w:cs="Times New Roman"/>
        </w:rPr>
        <w:t xml:space="preserve"> tūkst. Eur, tai </w:t>
      </w:r>
      <w:r w:rsidR="00F17A48">
        <w:rPr>
          <w:rFonts w:cs="Times New Roman"/>
        </w:rPr>
        <w:t>19,41</w:t>
      </w:r>
      <w:r w:rsidR="0082786F">
        <w:rPr>
          <w:rFonts w:cs="Times New Roman"/>
        </w:rPr>
        <w:t xml:space="preserve">% </w:t>
      </w:r>
      <w:r w:rsidR="00F17A48">
        <w:rPr>
          <w:rFonts w:cs="Times New Roman"/>
        </w:rPr>
        <w:t>daugiau</w:t>
      </w:r>
      <w:r w:rsidR="0082786F">
        <w:rPr>
          <w:rFonts w:cs="Times New Roman"/>
        </w:rPr>
        <w:t>, nei 201</w:t>
      </w:r>
      <w:r w:rsidR="00F17A48">
        <w:rPr>
          <w:rFonts w:cs="Times New Roman"/>
        </w:rPr>
        <w:t>8</w:t>
      </w:r>
      <w:r w:rsidR="0082786F">
        <w:rPr>
          <w:rFonts w:cs="Times New Roman"/>
        </w:rPr>
        <w:t xml:space="preserve"> metais. Sveikatos apsaugai </w:t>
      </w:r>
      <w:r w:rsidR="00F17A48">
        <w:rPr>
          <w:rFonts w:cs="Times New Roman"/>
        </w:rPr>
        <w:t xml:space="preserve">792 371 </w:t>
      </w:r>
      <w:r w:rsidR="0082786F">
        <w:rPr>
          <w:rFonts w:cs="Times New Roman"/>
        </w:rPr>
        <w:t>tūkst. Eur, lyginant su 201</w:t>
      </w:r>
      <w:r w:rsidR="00F17A48">
        <w:rPr>
          <w:rFonts w:cs="Times New Roman"/>
        </w:rPr>
        <w:t>8</w:t>
      </w:r>
      <w:r w:rsidR="0082786F">
        <w:rPr>
          <w:rFonts w:cs="Times New Roman"/>
        </w:rPr>
        <w:t xml:space="preserve"> metų duomenimis, lėšos būtų </w:t>
      </w:r>
      <w:r w:rsidR="00F17A48">
        <w:rPr>
          <w:rFonts w:cs="Times New Roman"/>
        </w:rPr>
        <w:t>11,22</w:t>
      </w:r>
      <w:r w:rsidR="0082786F">
        <w:rPr>
          <w:rFonts w:cs="Times New Roman"/>
        </w:rPr>
        <w:t xml:space="preserve">% didesnės. Poilsiui, kultūrai ir religijai </w:t>
      </w:r>
      <w:r w:rsidR="00F17A48">
        <w:rPr>
          <w:rFonts w:cs="Times New Roman"/>
        </w:rPr>
        <w:t>353 420</w:t>
      </w:r>
      <w:r w:rsidR="0082786F">
        <w:rPr>
          <w:rFonts w:cs="Times New Roman"/>
        </w:rPr>
        <w:t xml:space="preserve"> tūkst. Eur, tai būtų </w:t>
      </w:r>
      <w:r w:rsidR="00F17A48">
        <w:rPr>
          <w:rFonts w:cs="Times New Roman"/>
        </w:rPr>
        <w:t>12,96</w:t>
      </w:r>
      <w:r w:rsidR="0082786F">
        <w:rPr>
          <w:rFonts w:cs="Times New Roman"/>
        </w:rPr>
        <w:t>% daugiau, nei 201</w:t>
      </w:r>
      <w:r w:rsidR="00F17A48">
        <w:rPr>
          <w:rFonts w:cs="Times New Roman"/>
        </w:rPr>
        <w:t>8</w:t>
      </w:r>
      <w:r w:rsidR="0082786F">
        <w:rPr>
          <w:rFonts w:cs="Times New Roman"/>
        </w:rPr>
        <w:t xml:space="preserve"> metais buvo skirta. Švietimui buvo skirta </w:t>
      </w:r>
      <w:r w:rsidR="00F17A48">
        <w:rPr>
          <w:rFonts w:cs="Times New Roman"/>
        </w:rPr>
        <w:t>13,91</w:t>
      </w:r>
      <w:r w:rsidR="0082786F">
        <w:rPr>
          <w:rFonts w:cs="Times New Roman"/>
        </w:rPr>
        <w:t xml:space="preserve">% daugiau, tai būtų </w:t>
      </w:r>
      <w:r w:rsidR="00F17A48">
        <w:rPr>
          <w:rFonts w:cs="Times New Roman"/>
        </w:rPr>
        <w:t>1 51</w:t>
      </w:r>
      <w:r w:rsidR="003E49CD">
        <w:rPr>
          <w:rFonts w:cs="Times New Roman"/>
        </w:rPr>
        <w:t xml:space="preserve">7 043 </w:t>
      </w:r>
      <w:r w:rsidR="0082786F">
        <w:rPr>
          <w:rFonts w:cs="Times New Roman"/>
        </w:rPr>
        <w:t>tūkst. Eur, nei 201</w:t>
      </w:r>
      <w:r w:rsidR="003E49CD">
        <w:rPr>
          <w:rFonts w:cs="Times New Roman"/>
        </w:rPr>
        <w:t>8</w:t>
      </w:r>
      <w:r w:rsidR="0082786F">
        <w:rPr>
          <w:rFonts w:cs="Times New Roman"/>
        </w:rPr>
        <w:t xml:space="preserve"> metais. Socialinei apsaugai buvo skirta </w:t>
      </w:r>
      <w:r w:rsidR="003E49CD">
        <w:rPr>
          <w:rFonts w:cs="Times New Roman"/>
        </w:rPr>
        <w:t>net 119,7</w:t>
      </w:r>
      <w:r w:rsidR="0082786F">
        <w:rPr>
          <w:rFonts w:cs="Times New Roman"/>
        </w:rPr>
        <w:t>% daugiau biudžeto lėšų, nei 201</w:t>
      </w:r>
      <w:r w:rsidR="003E49CD">
        <w:rPr>
          <w:rFonts w:cs="Times New Roman"/>
        </w:rPr>
        <w:t>8</w:t>
      </w:r>
      <w:r w:rsidR="0082786F">
        <w:rPr>
          <w:rFonts w:cs="Times New Roman"/>
        </w:rPr>
        <w:t xml:space="preserve"> metais, tai būtų </w:t>
      </w:r>
      <w:r w:rsidR="003E49CD">
        <w:rPr>
          <w:rFonts w:cs="Times New Roman"/>
        </w:rPr>
        <w:t>3 13</w:t>
      </w:r>
      <w:r w:rsidR="0048447F">
        <w:rPr>
          <w:rFonts w:cs="Times New Roman"/>
        </w:rPr>
        <w:t>5 716</w:t>
      </w:r>
      <w:r w:rsidR="0082786F">
        <w:rPr>
          <w:rFonts w:cs="Times New Roman"/>
        </w:rPr>
        <w:t xml:space="preserve"> tūkst. Eur.</w:t>
      </w:r>
    </w:p>
    <w:p w14:paraId="1954FDA9" w14:textId="77777777" w:rsidR="0048447F" w:rsidRPr="0045688D" w:rsidRDefault="0048447F" w:rsidP="007F078F">
      <w:pPr>
        <w:rPr>
          <w:rFonts w:cs="Times New Roman"/>
        </w:rPr>
      </w:pPr>
    </w:p>
    <w:p w14:paraId="75579452" w14:textId="332D3066" w:rsidR="00DE391A" w:rsidRDefault="00DE391A" w:rsidP="00800D1C">
      <w:pPr>
        <w:ind w:firstLine="0"/>
        <w:jc w:val="center"/>
        <w:rPr>
          <w:rFonts w:cs="Times New Roman"/>
          <w:b/>
          <w:bCs/>
          <w:sz w:val="24"/>
          <w:szCs w:val="28"/>
        </w:rPr>
      </w:pPr>
      <w:r w:rsidRPr="0045688D">
        <w:rPr>
          <w:rFonts w:cs="Times New Roman"/>
          <w:b/>
          <w:bCs/>
          <w:sz w:val="24"/>
          <w:szCs w:val="28"/>
        </w:rPr>
        <w:t>Išvados</w:t>
      </w:r>
    </w:p>
    <w:p w14:paraId="67A68375" w14:textId="77777777" w:rsidR="004B72ED" w:rsidRDefault="004B72ED" w:rsidP="004B72ED"/>
    <w:p w14:paraId="429D5ADF" w14:textId="3FFAB1C6" w:rsidR="00C14AB2" w:rsidRDefault="00BD73A9" w:rsidP="00C14AB2">
      <w:r>
        <w:t>Valstybės biudžeto struktūra 2015 – 2019 metais išliko ta pati, tačiau skirting</w:t>
      </w:r>
      <w:r w:rsidR="00891AAF">
        <w:t>ų</w:t>
      </w:r>
      <w:r>
        <w:t xml:space="preserve"> </w:t>
      </w:r>
      <w:r w:rsidR="00891AAF">
        <w:t xml:space="preserve">sektorių finansavimas </w:t>
      </w:r>
      <w:r>
        <w:t>kiekvienais metais patyrė pokyčius. Lyginant 2015 metų ir 2019 metų valstybės biudžeto asignavimo lėšas pastebima, jog bendras valstybės biudžeto dydis padidėjo 44,57%, tai yra 3 601 198,8 tūkst. Eur. Vis</w:t>
      </w:r>
      <w:r w:rsidR="00891AAF">
        <w:t>i</w:t>
      </w:r>
      <w:r>
        <w:t xml:space="preserve"> valstybės biudžeto finansuoj</w:t>
      </w:r>
      <w:r w:rsidR="00891AAF">
        <w:t>ami sektoriai</w:t>
      </w:r>
      <w:r>
        <w:t>, išskyrus</w:t>
      </w:r>
      <w:r w:rsidR="00891AAF">
        <w:t>,</w:t>
      </w:r>
      <w:r>
        <w:t xml:space="preserve"> </w:t>
      </w:r>
      <w:r w:rsidR="00180591">
        <w:t>būsto ir komunalinio ūkio</w:t>
      </w:r>
      <w:r w:rsidR="00891AAF">
        <w:t xml:space="preserve"> sektoriaus</w:t>
      </w:r>
      <w:r w:rsidR="00180591">
        <w:t xml:space="preserve"> finansavimą, padidėjo. </w:t>
      </w:r>
      <w:r w:rsidR="00891AAF">
        <w:t>Pastarojo sektoriaus</w:t>
      </w:r>
      <w:r w:rsidR="00180591">
        <w:t xml:space="preserve"> finansavimas sumažėjo net 42,74%, tai būtų 69 714,7 tūkst. Eur. Didžiausią finansinį augimą patyrė </w:t>
      </w:r>
      <w:r w:rsidR="00891AAF">
        <w:t xml:space="preserve">socialinės apsaugos sektorius, kuris padidėjo net 227,10% nuo 2015 metų. </w:t>
      </w:r>
      <w:r w:rsidR="004B72ED">
        <w:t>Gynybos sektoriaus finansavimas taip pat patyrė augimą, kuris siekia 113,56%, tai būtų 545 714,6 tūkst. Eur.</w:t>
      </w:r>
    </w:p>
    <w:p w14:paraId="6D2241B1" w14:textId="7C4D0E5E" w:rsidR="002A4EE8" w:rsidRPr="0045688D" w:rsidRDefault="00352838">
      <w:pPr>
        <w:spacing w:after="160" w:line="259" w:lineRule="auto"/>
        <w:ind w:firstLine="0"/>
        <w:jc w:val="left"/>
        <w:rPr>
          <w:rFonts w:cs="Times New Roman"/>
        </w:rPr>
        <w:sectPr w:rsidR="002A4EE8" w:rsidRPr="0045688D" w:rsidSect="00C14AB2">
          <w:type w:val="continuous"/>
          <w:pgSz w:w="11906" w:h="16838"/>
          <w:pgMar w:top="720" w:right="720" w:bottom="720" w:left="720" w:header="709" w:footer="709" w:gutter="0"/>
          <w:cols w:num="2" w:space="709"/>
          <w:docGrid w:linePitch="360"/>
        </w:sectPr>
      </w:pPr>
      <w:r w:rsidRPr="0045688D">
        <w:rPr>
          <w:rFonts w:cs="Times New Roman"/>
        </w:rPr>
        <w:br w:type="page"/>
      </w:r>
    </w:p>
    <w:p w14:paraId="4D4F64DA" w14:textId="01729668" w:rsidR="00352838" w:rsidRDefault="00352838" w:rsidP="004B72ED">
      <w:pPr>
        <w:jc w:val="center"/>
        <w:rPr>
          <w:rFonts w:cs="Times New Roman"/>
          <w:b/>
          <w:bCs/>
        </w:rPr>
      </w:pPr>
      <w:r w:rsidRPr="004B72ED">
        <w:rPr>
          <w:rFonts w:cs="Times New Roman"/>
          <w:b/>
          <w:bCs/>
        </w:rPr>
        <w:lastRenderedPageBreak/>
        <w:t>Literatūra</w:t>
      </w:r>
    </w:p>
    <w:p w14:paraId="2400B700" w14:textId="77777777" w:rsidR="004B72ED" w:rsidRPr="004B72ED" w:rsidRDefault="004B72ED" w:rsidP="004B72ED"/>
    <w:p w14:paraId="12040E19" w14:textId="674AE5E5" w:rsidR="00F26817" w:rsidRPr="00D76E0D" w:rsidRDefault="009B5A4C" w:rsidP="00D76E0D">
      <w:pPr>
        <w:pStyle w:val="Sraopastraipa"/>
        <w:numPr>
          <w:ilvl w:val="0"/>
          <w:numId w:val="1"/>
        </w:numPr>
        <w:rPr>
          <w:rFonts w:cs="Times New Roman"/>
        </w:rPr>
      </w:pPr>
      <w:hyperlink r:id="rId13" w:history="1">
        <w:r w:rsidR="00F26817" w:rsidRPr="00D76E0D">
          <w:rPr>
            <w:rStyle w:val="Hipersaitas"/>
            <w:rFonts w:cs="Times New Roman"/>
          </w:rPr>
          <w:t>https://lrv.lt/uploads/main/documents/files/2019%20m_%20biud%C5%BEetas%20.pdf</w:t>
        </w:r>
      </w:hyperlink>
    </w:p>
    <w:p w14:paraId="4C70D3AA" w14:textId="059411D3" w:rsidR="00F26817" w:rsidRPr="00D76E0D" w:rsidRDefault="009B5A4C" w:rsidP="00D76E0D">
      <w:pPr>
        <w:pStyle w:val="Sraopastraipa"/>
        <w:numPr>
          <w:ilvl w:val="0"/>
          <w:numId w:val="1"/>
        </w:numPr>
        <w:rPr>
          <w:rFonts w:cs="Times New Roman"/>
        </w:rPr>
      </w:pPr>
      <w:hyperlink r:id="rId14" w:history="1">
        <w:r w:rsidR="00F26817" w:rsidRPr="00D76E0D">
          <w:rPr>
            <w:rStyle w:val="Hipersaitas"/>
            <w:rFonts w:cs="Times New Roman"/>
          </w:rPr>
          <w:t>https://e-seimas.lrs.lt/portal/legalActEditions/lt/TAD/TAIS.428?faces-redirect=true</w:t>
        </w:r>
      </w:hyperlink>
    </w:p>
    <w:p w14:paraId="246187D0" w14:textId="4C6B6BCD" w:rsidR="00F26817" w:rsidRPr="00D76E0D" w:rsidRDefault="009B5A4C" w:rsidP="00D76E0D">
      <w:pPr>
        <w:pStyle w:val="Sraopastraipa"/>
        <w:numPr>
          <w:ilvl w:val="0"/>
          <w:numId w:val="1"/>
        </w:numPr>
        <w:rPr>
          <w:rFonts w:cs="Times New Roman"/>
        </w:rPr>
      </w:pPr>
      <w:hyperlink r:id="rId15" w:history="1">
        <w:r w:rsidR="00F26817" w:rsidRPr="00D76E0D">
          <w:rPr>
            <w:rStyle w:val="Hipersaitas"/>
            <w:rFonts w:cs="Times New Roman"/>
          </w:rPr>
          <w:t>https://finmin.lrv.lt/lt/veiklos-sritys/biudzetas</w:t>
        </w:r>
      </w:hyperlink>
    </w:p>
    <w:p w14:paraId="50138757" w14:textId="30A4AC58" w:rsidR="007E49BE" w:rsidRPr="00D76E0D" w:rsidRDefault="009B5A4C" w:rsidP="00D76E0D">
      <w:pPr>
        <w:pStyle w:val="Sraopastraipa"/>
        <w:numPr>
          <w:ilvl w:val="0"/>
          <w:numId w:val="1"/>
        </w:numPr>
        <w:rPr>
          <w:rFonts w:cs="Times New Roman"/>
        </w:rPr>
      </w:pPr>
      <w:hyperlink r:id="rId16" w:history="1">
        <w:r w:rsidR="007E49BE" w:rsidRPr="00D76E0D">
          <w:rPr>
            <w:rStyle w:val="Hipersaitas"/>
            <w:rFonts w:cs="Times New Roman"/>
          </w:rPr>
          <w:t>https://finmin.lrv.lt/uploads/finmin/documents/files/2019%20VB%20asignavimu%20struktura.pdf</w:t>
        </w:r>
      </w:hyperlink>
    </w:p>
    <w:p w14:paraId="680420FE" w14:textId="77777777" w:rsidR="004B72ED" w:rsidRDefault="004B72ED" w:rsidP="004B72ED">
      <w:pPr>
        <w:rPr>
          <w:rFonts w:cs="Times New Roman"/>
        </w:rPr>
      </w:pPr>
    </w:p>
    <w:p w14:paraId="3621F083" w14:textId="4F14B22C" w:rsidR="004B72ED" w:rsidRDefault="004B72ED" w:rsidP="007E49BE">
      <w:pPr>
        <w:ind w:firstLine="0"/>
        <w:rPr>
          <w:rFonts w:cs="Times New Roman"/>
        </w:rPr>
        <w:sectPr w:rsidR="004B72ED" w:rsidSect="004B72ED">
          <w:type w:val="continuous"/>
          <w:pgSz w:w="11906" w:h="16838"/>
          <w:pgMar w:top="851" w:right="1134" w:bottom="851" w:left="1134" w:header="709" w:footer="709" w:gutter="0"/>
          <w:cols w:space="709"/>
          <w:docGrid w:linePitch="360"/>
        </w:sectPr>
      </w:pPr>
    </w:p>
    <w:p w14:paraId="1083D5CF" w14:textId="26877861" w:rsidR="00F26817" w:rsidRPr="0045688D" w:rsidRDefault="00F26817" w:rsidP="007E49BE">
      <w:pPr>
        <w:ind w:firstLine="0"/>
        <w:rPr>
          <w:rFonts w:cs="Times New Roman"/>
        </w:rPr>
      </w:pPr>
    </w:p>
    <w:sectPr w:rsidR="00F26817" w:rsidRPr="0045688D" w:rsidSect="00C14AB2">
      <w:type w:val="continuous"/>
      <w:pgSz w:w="11906" w:h="16838"/>
      <w:pgMar w:top="851" w:right="1134" w:bottom="851" w:left="1134" w:header="709" w:footer="709"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8C871" w14:textId="77777777" w:rsidR="009B5A4C" w:rsidRDefault="009B5A4C" w:rsidP="00C41F43">
      <w:r>
        <w:separator/>
      </w:r>
    </w:p>
  </w:endnote>
  <w:endnote w:type="continuationSeparator" w:id="0">
    <w:p w14:paraId="3DE57AE9" w14:textId="77777777" w:rsidR="009B5A4C" w:rsidRDefault="009B5A4C" w:rsidP="00C41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C7200" w14:textId="77777777" w:rsidR="009B5A4C" w:rsidRDefault="009B5A4C" w:rsidP="00C41F43">
      <w:r>
        <w:separator/>
      </w:r>
    </w:p>
  </w:footnote>
  <w:footnote w:type="continuationSeparator" w:id="0">
    <w:p w14:paraId="18E77587" w14:textId="77777777" w:rsidR="009B5A4C" w:rsidRDefault="009B5A4C" w:rsidP="00C41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F7FE3"/>
    <w:multiLevelType w:val="hybridMultilevel"/>
    <w:tmpl w:val="D8885CA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676"/>
    <w:rsid w:val="000117EB"/>
    <w:rsid w:val="00020CB0"/>
    <w:rsid w:val="00051D4F"/>
    <w:rsid w:val="000545AA"/>
    <w:rsid w:val="00064371"/>
    <w:rsid w:val="00067E7E"/>
    <w:rsid w:val="0009279B"/>
    <w:rsid w:val="000D65D7"/>
    <w:rsid w:val="000D7564"/>
    <w:rsid w:val="000F4284"/>
    <w:rsid w:val="000F6ED4"/>
    <w:rsid w:val="001050ED"/>
    <w:rsid w:val="00166940"/>
    <w:rsid w:val="00180591"/>
    <w:rsid w:val="001868D5"/>
    <w:rsid w:val="0019316E"/>
    <w:rsid w:val="00196763"/>
    <w:rsid w:val="00196C73"/>
    <w:rsid w:val="001970EA"/>
    <w:rsid w:val="001A12E7"/>
    <w:rsid w:val="001C1EB8"/>
    <w:rsid w:val="001C448A"/>
    <w:rsid w:val="001C4663"/>
    <w:rsid w:val="002065E3"/>
    <w:rsid w:val="00211B6F"/>
    <w:rsid w:val="002225C9"/>
    <w:rsid w:val="002403D4"/>
    <w:rsid w:val="00252259"/>
    <w:rsid w:val="00264A7C"/>
    <w:rsid w:val="00275CDD"/>
    <w:rsid w:val="002A4EE8"/>
    <w:rsid w:val="002A4FE3"/>
    <w:rsid w:val="002B7E73"/>
    <w:rsid w:val="002C0388"/>
    <w:rsid w:val="002C1D2B"/>
    <w:rsid w:val="002D1A19"/>
    <w:rsid w:val="002D4C9E"/>
    <w:rsid w:val="002E09D5"/>
    <w:rsid w:val="002E73A6"/>
    <w:rsid w:val="003044AC"/>
    <w:rsid w:val="003305BC"/>
    <w:rsid w:val="0033551A"/>
    <w:rsid w:val="00340B81"/>
    <w:rsid w:val="00352838"/>
    <w:rsid w:val="00354D29"/>
    <w:rsid w:val="00382C49"/>
    <w:rsid w:val="003E49CD"/>
    <w:rsid w:val="003E528C"/>
    <w:rsid w:val="004352F7"/>
    <w:rsid w:val="004500A6"/>
    <w:rsid w:val="0045036B"/>
    <w:rsid w:val="0045688D"/>
    <w:rsid w:val="00466278"/>
    <w:rsid w:val="0048447F"/>
    <w:rsid w:val="004901EF"/>
    <w:rsid w:val="00497A93"/>
    <w:rsid w:val="004B72ED"/>
    <w:rsid w:val="004C5C0C"/>
    <w:rsid w:val="004D0BA1"/>
    <w:rsid w:val="004D5C82"/>
    <w:rsid w:val="004E59A2"/>
    <w:rsid w:val="004F3ADF"/>
    <w:rsid w:val="004F626F"/>
    <w:rsid w:val="00510A3A"/>
    <w:rsid w:val="005274EA"/>
    <w:rsid w:val="00560ECB"/>
    <w:rsid w:val="00574AA3"/>
    <w:rsid w:val="00583770"/>
    <w:rsid w:val="00597001"/>
    <w:rsid w:val="005A1108"/>
    <w:rsid w:val="005A4398"/>
    <w:rsid w:val="005B5022"/>
    <w:rsid w:val="005E30AC"/>
    <w:rsid w:val="00601346"/>
    <w:rsid w:val="00613D03"/>
    <w:rsid w:val="00653F97"/>
    <w:rsid w:val="00666B01"/>
    <w:rsid w:val="00673B72"/>
    <w:rsid w:val="006832C8"/>
    <w:rsid w:val="00695C0F"/>
    <w:rsid w:val="006A7A54"/>
    <w:rsid w:val="006B1FCE"/>
    <w:rsid w:val="006B7F70"/>
    <w:rsid w:val="006C7696"/>
    <w:rsid w:val="006C7C13"/>
    <w:rsid w:val="006D64F0"/>
    <w:rsid w:val="006F62DE"/>
    <w:rsid w:val="0070393F"/>
    <w:rsid w:val="00705F56"/>
    <w:rsid w:val="007321D2"/>
    <w:rsid w:val="00735B9E"/>
    <w:rsid w:val="00764E85"/>
    <w:rsid w:val="00776447"/>
    <w:rsid w:val="007825BE"/>
    <w:rsid w:val="007B7EB2"/>
    <w:rsid w:val="007C7738"/>
    <w:rsid w:val="007D0ABC"/>
    <w:rsid w:val="007E49BE"/>
    <w:rsid w:val="007F078F"/>
    <w:rsid w:val="007F6C55"/>
    <w:rsid w:val="00800D1C"/>
    <w:rsid w:val="0082786F"/>
    <w:rsid w:val="008355BC"/>
    <w:rsid w:val="008366F0"/>
    <w:rsid w:val="00841616"/>
    <w:rsid w:val="008423B3"/>
    <w:rsid w:val="00867536"/>
    <w:rsid w:val="00891AAF"/>
    <w:rsid w:val="008A73F2"/>
    <w:rsid w:val="008E0BAE"/>
    <w:rsid w:val="009044C8"/>
    <w:rsid w:val="0091147B"/>
    <w:rsid w:val="00933AC4"/>
    <w:rsid w:val="00936F01"/>
    <w:rsid w:val="009673A2"/>
    <w:rsid w:val="00972C38"/>
    <w:rsid w:val="00974FEC"/>
    <w:rsid w:val="00994B5F"/>
    <w:rsid w:val="009A4BDE"/>
    <w:rsid w:val="009B5294"/>
    <w:rsid w:val="009B5A4C"/>
    <w:rsid w:val="009B6B73"/>
    <w:rsid w:val="009C2003"/>
    <w:rsid w:val="009D4A19"/>
    <w:rsid w:val="009F2C58"/>
    <w:rsid w:val="009F339C"/>
    <w:rsid w:val="00A14C36"/>
    <w:rsid w:val="00A2495B"/>
    <w:rsid w:val="00A746F3"/>
    <w:rsid w:val="00A84346"/>
    <w:rsid w:val="00A85249"/>
    <w:rsid w:val="00A9650D"/>
    <w:rsid w:val="00AA599D"/>
    <w:rsid w:val="00AB13D4"/>
    <w:rsid w:val="00AB16B0"/>
    <w:rsid w:val="00AB43B9"/>
    <w:rsid w:val="00AB6748"/>
    <w:rsid w:val="00AB71E2"/>
    <w:rsid w:val="00AC6A6C"/>
    <w:rsid w:val="00AF493F"/>
    <w:rsid w:val="00B67B46"/>
    <w:rsid w:val="00B70E38"/>
    <w:rsid w:val="00B773F2"/>
    <w:rsid w:val="00BC24A4"/>
    <w:rsid w:val="00BD73A9"/>
    <w:rsid w:val="00C03DD6"/>
    <w:rsid w:val="00C049E9"/>
    <w:rsid w:val="00C14AB2"/>
    <w:rsid w:val="00C24C60"/>
    <w:rsid w:val="00C31064"/>
    <w:rsid w:val="00C41F43"/>
    <w:rsid w:val="00C5412E"/>
    <w:rsid w:val="00C602A3"/>
    <w:rsid w:val="00C71D1B"/>
    <w:rsid w:val="00C721C5"/>
    <w:rsid w:val="00CD10A7"/>
    <w:rsid w:val="00CE590A"/>
    <w:rsid w:val="00CE7EE0"/>
    <w:rsid w:val="00D102A8"/>
    <w:rsid w:val="00D40F1E"/>
    <w:rsid w:val="00D76E0D"/>
    <w:rsid w:val="00DB2216"/>
    <w:rsid w:val="00DB5884"/>
    <w:rsid w:val="00DD1DB1"/>
    <w:rsid w:val="00DE391A"/>
    <w:rsid w:val="00DE7FC7"/>
    <w:rsid w:val="00E06819"/>
    <w:rsid w:val="00E07BE7"/>
    <w:rsid w:val="00E30AC7"/>
    <w:rsid w:val="00E45676"/>
    <w:rsid w:val="00E53303"/>
    <w:rsid w:val="00E72EE6"/>
    <w:rsid w:val="00EA50BC"/>
    <w:rsid w:val="00EC0909"/>
    <w:rsid w:val="00ED05F9"/>
    <w:rsid w:val="00EE43DA"/>
    <w:rsid w:val="00EE6EFD"/>
    <w:rsid w:val="00F17A48"/>
    <w:rsid w:val="00F26817"/>
    <w:rsid w:val="00F278AC"/>
    <w:rsid w:val="00F411EC"/>
    <w:rsid w:val="00F626A1"/>
    <w:rsid w:val="00F66522"/>
    <w:rsid w:val="00F66A22"/>
    <w:rsid w:val="00FD1BAC"/>
    <w:rsid w:val="00FD1E0C"/>
    <w:rsid w:val="00FE036A"/>
    <w:rsid w:val="00FE4014"/>
    <w:rsid w:val="00FE5C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EB897"/>
  <w15:chartTrackingRefBased/>
  <w15:docId w15:val="{4830419D-AA67-4419-883D-2901C6B39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4AA3"/>
    <w:pPr>
      <w:spacing w:after="0" w:line="240" w:lineRule="auto"/>
      <w:ind w:firstLine="720"/>
      <w:jc w:val="both"/>
    </w:pPr>
    <w:rPr>
      <w:rFonts w:ascii="Times New Roman" w:hAnsi="Times New Roman"/>
      <w:sz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Eilutsnumeris">
    <w:name w:val="line number"/>
    <w:basedOn w:val="Numatytasispastraiposriftas"/>
    <w:uiPriority w:val="99"/>
    <w:semiHidden/>
    <w:unhideWhenUsed/>
    <w:rsid w:val="00352838"/>
  </w:style>
  <w:style w:type="paragraph" w:styleId="Antrats">
    <w:name w:val="header"/>
    <w:basedOn w:val="prastasis"/>
    <w:link w:val="AntratsDiagrama"/>
    <w:uiPriority w:val="99"/>
    <w:unhideWhenUsed/>
    <w:rsid w:val="00C41F43"/>
    <w:pPr>
      <w:tabs>
        <w:tab w:val="center" w:pos="4513"/>
        <w:tab w:val="right" w:pos="9026"/>
      </w:tabs>
    </w:pPr>
  </w:style>
  <w:style w:type="character" w:customStyle="1" w:styleId="AntratsDiagrama">
    <w:name w:val="Antraštės Diagrama"/>
    <w:basedOn w:val="Numatytasispastraiposriftas"/>
    <w:link w:val="Antrats"/>
    <w:uiPriority w:val="99"/>
    <w:rsid w:val="00C41F43"/>
    <w:rPr>
      <w:rFonts w:ascii="Times New Roman" w:hAnsi="Times New Roman"/>
      <w:sz w:val="20"/>
      <w:lang w:val="lt-LT"/>
    </w:rPr>
  </w:style>
  <w:style w:type="paragraph" w:styleId="Porat">
    <w:name w:val="footer"/>
    <w:basedOn w:val="prastasis"/>
    <w:link w:val="PoratDiagrama"/>
    <w:uiPriority w:val="99"/>
    <w:unhideWhenUsed/>
    <w:rsid w:val="00C41F43"/>
    <w:pPr>
      <w:tabs>
        <w:tab w:val="center" w:pos="4513"/>
        <w:tab w:val="right" w:pos="9026"/>
      </w:tabs>
    </w:pPr>
  </w:style>
  <w:style w:type="character" w:customStyle="1" w:styleId="PoratDiagrama">
    <w:name w:val="Poraštė Diagrama"/>
    <w:basedOn w:val="Numatytasispastraiposriftas"/>
    <w:link w:val="Porat"/>
    <w:uiPriority w:val="99"/>
    <w:rsid w:val="00C41F43"/>
    <w:rPr>
      <w:rFonts w:ascii="Times New Roman" w:hAnsi="Times New Roman"/>
      <w:sz w:val="20"/>
      <w:lang w:val="lt-LT"/>
    </w:rPr>
  </w:style>
  <w:style w:type="character" w:styleId="Hipersaitas">
    <w:name w:val="Hyperlink"/>
    <w:basedOn w:val="Numatytasispastraiposriftas"/>
    <w:uiPriority w:val="99"/>
    <w:unhideWhenUsed/>
    <w:rsid w:val="00F26817"/>
    <w:rPr>
      <w:color w:val="0563C1" w:themeColor="hyperlink"/>
      <w:u w:val="single"/>
    </w:rPr>
  </w:style>
  <w:style w:type="character" w:styleId="Neapdorotaspaminjimas">
    <w:name w:val="Unresolved Mention"/>
    <w:basedOn w:val="Numatytasispastraiposriftas"/>
    <w:uiPriority w:val="99"/>
    <w:semiHidden/>
    <w:unhideWhenUsed/>
    <w:rsid w:val="00F26817"/>
    <w:rPr>
      <w:color w:val="605E5C"/>
      <w:shd w:val="clear" w:color="auto" w:fill="E1DFDD"/>
    </w:rPr>
  </w:style>
  <w:style w:type="paragraph" w:styleId="Antrat">
    <w:name w:val="caption"/>
    <w:basedOn w:val="prastasis"/>
    <w:next w:val="prastasis"/>
    <w:uiPriority w:val="35"/>
    <w:unhideWhenUsed/>
    <w:qFormat/>
    <w:rsid w:val="0045688D"/>
    <w:pPr>
      <w:spacing w:after="200"/>
    </w:pPr>
    <w:rPr>
      <w:i/>
      <w:iCs/>
      <w:color w:val="44546A" w:themeColor="text2"/>
      <w:sz w:val="18"/>
      <w:szCs w:val="18"/>
    </w:rPr>
  </w:style>
  <w:style w:type="paragraph" w:styleId="Betarp">
    <w:name w:val="No Spacing"/>
    <w:uiPriority w:val="1"/>
    <w:qFormat/>
    <w:rsid w:val="004B72ED"/>
    <w:pPr>
      <w:spacing w:after="0" w:line="240" w:lineRule="auto"/>
      <w:ind w:firstLine="720"/>
      <w:jc w:val="both"/>
    </w:pPr>
    <w:rPr>
      <w:rFonts w:ascii="Times New Roman" w:hAnsi="Times New Roman"/>
      <w:sz w:val="20"/>
      <w:lang w:val="lt-LT"/>
    </w:rPr>
  </w:style>
  <w:style w:type="paragraph" w:styleId="Sraopastraipa">
    <w:name w:val="List Paragraph"/>
    <w:basedOn w:val="prastasis"/>
    <w:uiPriority w:val="34"/>
    <w:qFormat/>
    <w:rsid w:val="00D76E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38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rv.lt/uploads/main/documents/files/2019%20m_%20biud%C5%BEetas%2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inmin.lrv.lt/uploads/finmin/documents/files/2019%20VB%20asignavimu%20struktura.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finmin.lrv.lt/lt/veiklos-sritys/biudzeta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eimas.lrs.lt/portal/legalActEditions/lt/TAD/TAIS.428?faces-redirect=true"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Knyga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cap="none" spc="0" normalizeH="0" baseline="0">
                <a:solidFill>
                  <a:sysClr val="windowText" lastClr="000000"/>
                </a:solidFill>
                <a:latin typeface="+mj-lt"/>
                <a:ea typeface="+mj-ea"/>
                <a:cs typeface="+mj-cs"/>
              </a:defRPr>
            </a:pPr>
            <a:r>
              <a:rPr lang="en-GB" sz="1050">
                <a:solidFill>
                  <a:sysClr val="windowText" lastClr="000000"/>
                </a:solidFill>
                <a:latin typeface="Times New Roman" panose="02020603050405020304" pitchFamily="18" charset="0"/>
                <a:cs typeface="Times New Roman" panose="02020603050405020304" pitchFamily="18" charset="0"/>
              </a:rPr>
              <a:t>VALSTYBĖS BIUDŽETO ASIGNAVIMŲ STRUKTŪRA</a:t>
            </a:r>
            <a:r>
              <a:rPr lang="lt-LT" sz="1050">
                <a:solidFill>
                  <a:sysClr val="windowText" lastClr="000000"/>
                </a:solidFill>
                <a:latin typeface="Times New Roman" panose="02020603050405020304" pitchFamily="18" charset="0"/>
                <a:cs typeface="Times New Roman" panose="02020603050405020304" pitchFamily="18" charset="0"/>
              </a:rPr>
              <a:t> 2015 - 2019 m.</a:t>
            </a:r>
            <a:endParaRPr lang="en-GB" sz="105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7922377281730856"/>
          <c:y val="2.9820470368153631E-2"/>
        </c:manualLayout>
      </c:layout>
      <c:overlay val="0"/>
      <c:spPr>
        <a:noFill/>
        <a:ln>
          <a:noFill/>
        </a:ln>
        <a:effectLst/>
      </c:spPr>
      <c:txPr>
        <a:bodyPr rot="0" spcFirstLastPara="1" vertOverflow="ellipsis" vert="horz" wrap="square" anchor="ctr" anchorCtr="1"/>
        <a:lstStyle/>
        <a:p>
          <a:pPr>
            <a:defRPr sz="1200" b="0" i="0" u="none" strike="noStrike" kern="1200" cap="none" spc="0" normalizeH="0" baseline="0">
              <a:solidFill>
                <a:sysClr val="windowText" lastClr="000000"/>
              </a:solidFill>
              <a:latin typeface="+mj-lt"/>
              <a:ea typeface="+mj-ea"/>
              <a:cs typeface="+mj-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7646537317397896E-2"/>
          <c:y val="0.10450720153125177"/>
          <c:w val="0.90450713345871137"/>
          <c:h val="0.70387003390785763"/>
        </c:manualLayout>
      </c:layout>
      <c:bar3DChart>
        <c:barDir val="col"/>
        <c:grouping val="clustered"/>
        <c:varyColors val="0"/>
        <c:ser>
          <c:idx val="0"/>
          <c:order val="0"/>
          <c:tx>
            <c:strRef>
              <c:f>Lapas1!$C$2</c:f>
              <c:strCache>
                <c:ptCount val="1"/>
                <c:pt idx="0">
                  <c:v>2015m.</c:v>
                </c:pt>
              </c:strCache>
            </c:strRef>
          </c:tx>
          <c:spPr>
            <a:solidFill>
              <a:schemeClr val="accent1"/>
            </a:solidFill>
            <a:ln>
              <a:noFill/>
            </a:ln>
            <a:effectLst/>
            <a:sp3d/>
          </c:spPr>
          <c:invertIfNegative val="0"/>
          <c:dLbls>
            <c:dLbl>
              <c:idx val="0"/>
              <c:layout>
                <c:manualLayout>
                  <c:x val="0"/>
                  <c:y val="-5.85774058577406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BF49-4343-B45B-22BAFB21930E}"/>
                </c:ext>
              </c:extLst>
            </c:dLbl>
            <c:dLbl>
              <c:idx val="1"/>
              <c:layout>
                <c:manualLayout>
                  <c:x val="8.5091796303951125E-5"/>
                  <c:y val="-0.114502115806952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BF49-4343-B45B-22BAFB21930E}"/>
                </c:ext>
              </c:extLst>
            </c:dLbl>
            <c:dLbl>
              <c:idx val="2"/>
              <c:layout>
                <c:manualLayout>
                  <c:x val="-6.9991251093612979E-3"/>
                  <c:y val="-0.1422594142259414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BF49-4343-B45B-22BAFB21930E}"/>
                </c:ext>
              </c:extLst>
            </c:dLbl>
            <c:dLbl>
              <c:idx val="3"/>
              <c:layout>
                <c:manualLayout>
                  <c:x val="-5.2493438320209973E-3"/>
                  <c:y val="-0.1143654114365411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F-BF49-4343-B45B-22BAFB21930E}"/>
                </c:ext>
              </c:extLst>
            </c:dLbl>
            <c:dLbl>
              <c:idx val="4"/>
              <c:layout>
                <c:manualLayout>
                  <c:x val="-6.4157905678210984E-17"/>
                  <c:y val="-0.1338912133891213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2-BF49-4343-B45B-22BAFB21930E}"/>
                </c:ext>
              </c:extLst>
            </c:dLbl>
            <c:dLbl>
              <c:idx val="5"/>
              <c:layout>
                <c:manualLayout>
                  <c:x val="3.499562554680665E-3"/>
                  <c:y val="-0.234309623430962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7-BF49-4343-B45B-22BAFB21930E}"/>
                </c:ext>
              </c:extLst>
            </c:dLbl>
            <c:dLbl>
              <c:idx val="6"/>
              <c:layout>
                <c:manualLayout>
                  <c:x val="-5.2493438320211257E-3"/>
                  <c:y val="-9.48396094839609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5-BF49-4343-B45B-22BAFB21930E}"/>
                </c:ext>
              </c:extLst>
            </c:dLbl>
            <c:dLbl>
              <c:idx val="7"/>
              <c:layout>
                <c:manualLayout>
                  <c:x val="0"/>
                  <c:y val="-0.1143654114365411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F-BF49-4343-B45B-22BAFB21930E}"/>
                </c:ext>
              </c:extLst>
            </c:dLbl>
            <c:dLbl>
              <c:idx val="8"/>
              <c:layout>
                <c:manualLayout>
                  <c:x val="-1.7497812773403325E-3"/>
                  <c:y val="-0.2008368200836820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6-BF49-4343-B45B-22BAFB21930E}"/>
                </c:ext>
              </c:extLst>
            </c:dLbl>
            <c:dLbl>
              <c:idx val="9"/>
              <c:layout>
                <c:manualLayout>
                  <c:x val="-5.036547128152E-3"/>
                  <c:y val="-9.98035245594301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BF49-4343-B45B-22BAFB21930E}"/>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Lapas1!$B$3:$B$12</c:f>
              <c:strCache>
                <c:ptCount val="10"/>
                <c:pt idx="0">
                  <c:v>Bendros valstybės paslaugos</c:v>
                </c:pt>
                <c:pt idx="1">
                  <c:v>Gynyba</c:v>
                </c:pt>
                <c:pt idx="2">
                  <c:v>Viešoji tvarka ir visuomenės apsauga</c:v>
                </c:pt>
                <c:pt idx="3">
                  <c:v>Ekonomika</c:v>
                </c:pt>
                <c:pt idx="4">
                  <c:v>Aplinkos apsauga</c:v>
                </c:pt>
                <c:pt idx="5">
                  <c:v>Būstas ir komunalinis ūkis</c:v>
                </c:pt>
                <c:pt idx="6">
                  <c:v>Sveikatos apsauga</c:v>
                </c:pt>
                <c:pt idx="7">
                  <c:v>Poilsis, kultūra ir religija</c:v>
                </c:pt>
                <c:pt idx="8">
                  <c:v>Švietimas</c:v>
                </c:pt>
                <c:pt idx="9">
                  <c:v>Socialinė apsauga</c:v>
                </c:pt>
              </c:strCache>
            </c:strRef>
          </c:cat>
          <c:val>
            <c:numRef>
              <c:f>Lapas1!$C$3:$C$12</c:f>
              <c:numCache>
                <c:formatCode>General</c:formatCode>
                <c:ptCount val="10"/>
                <c:pt idx="0">
                  <c:v>1449463.4</c:v>
                </c:pt>
                <c:pt idx="1">
                  <c:v>480541.4</c:v>
                </c:pt>
                <c:pt idx="2">
                  <c:v>593217</c:v>
                </c:pt>
                <c:pt idx="3">
                  <c:v>2148470.9</c:v>
                </c:pt>
                <c:pt idx="4">
                  <c:v>259197.4</c:v>
                </c:pt>
                <c:pt idx="5">
                  <c:v>163121.70000000001</c:v>
                </c:pt>
                <c:pt idx="6">
                  <c:v>560531.1</c:v>
                </c:pt>
                <c:pt idx="7">
                  <c:v>219092.5</c:v>
                </c:pt>
                <c:pt idx="8">
                  <c:v>1247749.1000000001</c:v>
                </c:pt>
                <c:pt idx="9">
                  <c:v>958632.7</c:v>
                </c:pt>
              </c:numCache>
            </c:numRef>
          </c:val>
          <c:extLst>
            <c:ext xmlns:c16="http://schemas.microsoft.com/office/drawing/2014/chart" uri="{C3380CC4-5D6E-409C-BE32-E72D297353CC}">
              <c16:uniqueId val="{00000000-BF49-4343-B45B-22BAFB21930E}"/>
            </c:ext>
          </c:extLst>
        </c:ser>
        <c:ser>
          <c:idx val="1"/>
          <c:order val="1"/>
          <c:tx>
            <c:strRef>
              <c:f>Lapas1!$F$2</c:f>
              <c:strCache>
                <c:ptCount val="1"/>
                <c:pt idx="0">
                  <c:v>2016m.</c:v>
                </c:pt>
              </c:strCache>
            </c:strRef>
          </c:tx>
          <c:spPr>
            <a:solidFill>
              <a:schemeClr val="accent2"/>
            </a:solidFill>
            <a:ln>
              <a:noFill/>
            </a:ln>
            <a:effectLst/>
            <a:sp3d/>
          </c:spPr>
          <c:invertIfNegative val="0"/>
          <c:dLbls>
            <c:dLbl>
              <c:idx val="0"/>
              <c:layout>
                <c:manualLayout>
                  <c:x val="0"/>
                  <c:y val="-0.10041841004184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BF49-4343-B45B-22BAFB21930E}"/>
                </c:ext>
              </c:extLst>
            </c:dLbl>
            <c:dLbl>
              <c:idx val="1"/>
              <c:layout>
                <c:manualLayout>
                  <c:x val="-1.7497812773403646E-3"/>
                  <c:y val="-0.1338912133891214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BF49-4343-B45B-22BAFB21930E}"/>
                </c:ext>
              </c:extLst>
            </c:dLbl>
            <c:dLbl>
              <c:idx val="2"/>
              <c:layout>
                <c:manualLayout>
                  <c:x val="-3.499562554680665E-3"/>
                  <c:y val="-9.76290097629009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BF49-4343-B45B-22BAFB21930E}"/>
                </c:ext>
              </c:extLst>
            </c:dLbl>
            <c:dLbl>
              <c:idx val="3"/>
              <c:layout>
                <c:manualLayout>
                  <c:x val="0"/>
                  <c:y val="-0.1032078103207810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BF49-4343-B45B-22BAFB21930E}"/>
                </c:ext>
              </c:extLst>
            </c:dLbl>
            <c:dLbl>
              <c:idx val="4"/>
              <c:layout>
                <c:manualLayout>
                  <c:x val="-1.7497812773403325E-3"/>
                  <c:y val="-3.34728033472803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9-BF49-4343-B45B-22BAFB21930E}"/>
                </c:ext>
              </c:extLst>
            </c:dLbl>
            <c:dLbl>
              <c:idx val="5"/>
              <c:layout>
                <c:manualLayout>
                  <c:x val="1.7497812773403325E-3"/>
                  <c:y val="-0.1645746164574617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BF49-4343-B45B-22BAFB21930E}"/>
                </c:ext>
              </c:extLst>
            </c:dLbl>
            <c:dLbl>
              <c:idx val="6"/>
              <c:layout>
                <c:manualLayout>
                  <c:x val="0"/>
                  <c:y val="-5.857740585774058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6-BF49-4343-B45B-22BAFB21930E}"/>
                </c:ext>
              </c:extLst>
            </c:dLbl>
            <c:dLbl>
              <c:idx val="7"/>
              <c:layout>
                <c:manualLayout>
                  <c:x val="-3.2245066568289591E-3"/>
                  <c:y val="-0.1445951117919021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F49-4343-B45B-22BAFB21930E}"/>
                </c:ext>
              </c:extLst>
            </c:dLbl>
            <c:dLbl>
              <c:idx val="8"/>
              <c:layout>
                <c:manualLayout>
                  <c:x val="0"/>
                  <c:y val="-0.1087866108786610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5-BF49-4343-B45B-22BAFB21930E}"/>
                </c:ext>
              </c:extLst>
            </c:dLbl>
            <c:dLbl>
              <c:idx val="9"/>
              <c:layout>
                <c:manualLayout>
                  <c:x val="-2.5270784813871349E-3"/>
                  <c:y val="-0.132938882639670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F49-4343-B45B-22BAFB21930E}"/>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Lapas1!$B$3:$B$12</c:f>
              <c:strCache>
                <c:ptCount val="10"/>
                <c:pt idx="0">
                  <c:v>Bendros valstybės paslaugos</c:v>
                </c:pt>
                <c:pt idx="1">
                  <c:v>Gynyba</c:v>
                </c:pt>
                <c:pt idx="2">
                  <c:v>Viešoji tvarka ir visuomenės apsauga</c:v>
                </c:pt>
                <c:pt idx="3">
                  <c:v>Ekonomika</c:v>
                </c:pt>
                <c:pt idx="4">
                  <c:v>Aplinkos apsauga</c:v>
                </c:pt>
                <c:pt idx="5">
                  <c:v>Būstas ir komunalinis ūkis</c:v>
                </c:pt>
                <c:pt idx="6">
                  <c:v>Sveikatos apsauga</c:v>
                </c:pt>
                <c:pt idx="7">
                  <c:v>Poilsis, kultūra ir religija</c:v>
                </c:pt>
                <c:pt idx="8">
                  <c:v>Švietimas</c:v>
                </c:pt>
                <c:pt idx="9">
                  <c:v>Socialinė apsauga</c:v>
                </c:pt>
              </c:strCache>
            </c:strRef>
          </c:cat>
          <c:val>
            <c:numRef>
              <c:f>Lapas1!$F$3:$F$12</c:f>
              <c:numCache>
                <c:formatCode>General</c:formatCode>
                <c:ptCount val="10"/>
                <c:pt idx="0">
                  <c:v>1478481.6</c:v>
                </c:pt>
                <c:pt idx="1">
                  <c:v>642428.19999999995</c:v>
                </c:pt>
                <c:pt idx="2">
                  <c:v>571336.9</c:v>
                </c:pt>
                <c:pt idx="3">
                  <c:v>2015986.6</c:v>
                </c:pt>
                <c:pt idx="4">
                  <c:v>131324.6</c:v>
                </c:pt>
                <c:pt idx="5">
                  <c:v>108637.4</c:v>
                </c:pt>
                <c:pt idx="6">
                  <c:v>554925.5</c:v>
                </c:pt>
                <c:pt idx="7">
                  <c:v>245552.5</c:v>
                </c:pt>
                <c:pt idx="8">
                  <c:v>1166862.7</c:v>
                </c:pt>
                <c:pt idx="9">
                  <c:v>1010241.5</c:v>
                </c:pt>
              </c:numCache>
            </c:numRef>
          </c:val>
          <c:extLst>
            <c:ext xmlns:c16="http://schemas.microsoft.com/office/drawing/2014/chart" uri="{C3380CC4-5D6E-409C-BE32-E72D297353CC}">
              <c16:uniqueId val="{00000003-BF49-4343-B45B-22BAFB21930E}"/>
            </c:ext>
          </c:extLst>
        </c:ser>
        <c:ser>
          <c:idx val="2"/>
          <c:order val="2"/>
          <c:tx>
            <c:strRef>
              <c:f>Lapas1!$I$2</c:f>
              <c:strCache>
                <c:ptCount val="1"/>
                <c:pt idx="0">
                  <c:v>2017m.</c:v>
                </c:pt>
              </c:strCache>
            </c:strRef>
          </c:tx>
          <c:spPr>
            <a:solidFill>
              <a:schemeClr val="accent3"/>
            </a:solidFill>
            <a:ln>
              <a:noFill/>
            </a:ln>
            <a:effectLst/>
            <a:sp3d/>
          </c:spPr>
          <c:invertIfNegative val="0"/>
          <c:dLbls>
            <c:dLbl>
              <c:idx val="0"/>
              <c:layout>
                <c:manualLayout>
                  <c:x val="3.086917284945681E-3"/>
                  <c:y val="-3.57910805082419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F49-4343-B45B-22BAFB21930E}"/>
                </c:ext>
              </c:extLst>
            </c:dLbl>
            <c:dLbl>
              <c:idx val="1"/>
              <c:layout>
                <c:manualLayout>
                  <c:x val="-5.2493438320209973E-3"/>
                  <c:y val="-0.1450488145048814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BF49-4343-B45B-22BAFB21930E}"/>
                </c:ext>
              </c:extLst>
            </c:dLbl>
            <c:dLbl>
              <c:idx val="2"/>
              <c:layout>
                <c:manualLayout>
                  <c:x val="-1.7497812773403325E-3"/>
                  <c:y val="-0.1589958158995815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BF49-4343-B45B-22BAFB21930E}"/>
                </c:ext>
              </c:extLst>
            </c:dLbl>
            <c:dLbl>
              <c:idx val="3"/>
              <c:layout>
                <c:manualLayout>
                  <c:x val="-3.499562554680665E-3"/>
                  <c:y val="-8.08926080892608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0-BF49-4343-B45B-22BAFB21930E}"/>
                </c:ext>
              </c:extLst>
            </c:dLbl>
            <c:dLbl>
              <c:idx val="4"/>
              <c:layout>
                <c:manualLayout>
                  <c:x val="0"/>
                  <c:y val="-8.36820083682009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8-BF49-4343-B45B-22BAFB21930E}"/>
                </c:ext>
              </c:extLst>
            </c:dLbl>
            <c:dLbl>
              <c:idx val="5"/>
              <c:layout>
                <c:manualLayout>
                  <c:x val="-1.7497812773403325E-3"/>
                  <c:y val="-2.51046025104603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A-BF49-4343-B45B-22BAFB21930E}"/>
                </c:ext>
              </c:extLst>
            </c:dLbl>
            <c:dLbl>
              <c:idx val="6"/>
              <c:layout>
                <c:manualLayout>
                  <c:x val="-1.7497812773404609E-3"/>
                  <c:y val="-0.1227336122733612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4-BF49-4343-B45B-22BAFB21930E}"/>
                </c:ext>
              </c:extLst>
            </c:dLbl>
            <c:dLbl>
              <c:idx val="7"/>
              <c:layout>
                <c:manualLayout>
                  <c:x val="1.7497812773402041E-3"/>
                  <c:y val="-0.1727684248673936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F49-4343-B45B-22BAFB21930E}"/>
                </c:ext>
              </c:extLst>
            </c:dLbl>
            <c:dLbl>
              <c:idx val="8"/>
              <c:layout>
                <c:manualLayout>
                  <c:x val="-5.2493438320211257E-3"/>
                  <c:y val="-0.145048814504881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4-BF49-4343-B45B-22BAFB21930E}"/>
                </c:ext>
              </c:extLst>
            </c:dLbl>
            <c:dLbl>
              <c:idx val="9"/>
              <c:layout>
                <c:manualLayout>
                  <c:x val="-3.4274652928307139E-3"/>
                  <c:y val="-0.154867427285874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F49-4343-B45B-22BAFB21930E}"/>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Lapas1!$B$3:$B$12</c:f>
              <c:strCache>
                <c:ptCount val="10"/>
                <c:pt idx="0">
                  <c:v>Bendros valstybės paslaugos</c:v>
                </c:pt>
                <c:pt idx="1">
                  <c:v>Gynyba</c:v>
                </c:pt>
                <c:pt idx="2">
                  <c:v>Viešoji tvarka ir visuomenės apsauga</c:v>
                </c:pt>
                <c:pt idx="3">
                  <c:v>Ekonomika</c:v>
                </c:pt>
                <c:pt idx="4">
                  <c:v>Aplinkos apsauga</c:v>
                </c:pt>
                <c:pt idx="5">
                  <c:v>Būstas ir komunalinis ūkis</c:v>
                </c:pt>
                <c:pt idx="6">
                  <c:v>Sveikatos apsauga</c:v>
                </c:pt>
                <c:pt idx="7">
                  <c:v>Poilsis, kultūra ir religija</c:v>
                </c:pt>
                <c:pt idx="8">
                  <c:v>Švietimas</c:v>
                </c:pt>
                <c:pt idx="9">
                  <c:v>Socialinė apsauga</c:v>
                </c:pt>
              </c:strCache>
            </c:strRef>
          </c:cat>
          <c:val>
            <c:numRef>
              <c:f>Lapas1!$I$3:$I$12</c:f>
              <c:numCache>
                <c:formatCode>General</c:formatCode>
                <c:ptCount val="10"/>
                <c:pt idx="0">
                  <c:v>1400982.5</c:v>
                </c:pt>
                <c:pt idx="1">
                  <c:v>799359.9</c:v>
                </c:pt>
                <c:pt idx="2">
                  <c:v>628841</c:v>
                </c:pt>
                <c:pt idx="3">
                  <c:v>1858290.1</c:v>
                </c:pt>
                <c:pt idx="4">
                  <c:v>143095.5</c:v>
                </c:pt>
                <c:pt idx="5">
                  <c:v>76251.5</c:v>
                </c:pt>
                <c:pt idx="6">
                  <c:v>585151.6</c:v>
                </c:pt>
                <c:pt idx="7">
                  <c:v>264582.59999999998</c:v>
                </c:pt>
                <c:pt idx="8">
                  <c:v>1231761.3999999999</c:v>
                </c:pt>
                <c:pt idx="9">
                  <c:v>1131484.2</c:v>
                </c:pt>
              </c:numCache>
            </c:numRef>
          </c:val>
          <c:extLst>
            <c:ext xmlns:c16="http://schemas.microsoft.com/office/drawing/2014/chart" uri="{C3380CC4-5D6E-409C-BE32-E72D297353CC}">
              <c16:uniqueId val="{00000007-BF49-4343-B45B-22BAFB21930E}"/>
            </c:ext>
          </c:extLst>
        </c:ser>
        <c:ser>
          <c:idx val="3"/>
          <c:order val="3"/>
          <c:tx>
            <c:strRef>
              <c:f>Lapas1!$L$2</c:f>
              <c:strCache>
                <c:ptCount val="1"/>
                <c:pt idx="0">
                  <c:v>2018m.</c:v>
                </c:pt>
              </c:strCache>
            </c:strRef>
          </c:tx>
          <c:spPr>
            <a:solidFill>
              <a:schemeClr val="accent4"/>
            </a:solidFill>
            <a:ln>
              <a:noFill/>
            </a:ln>
            <a:effectLst/>
            <a:sp3d/>
          </c:spPr>
          <c:invertIfNegative val="0"/>
          <c:dLbls>
            <c:dLbl>
              <c:idx val="0"/>
              <c:layout>
                <c:manualLayout>
                  <c:x val="0"/>
                  <c:y val="-0.1666747932659045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F49-4343-B45B-22BAFB21930E}"/>
                </c:ext>
              </c:extLst>
            </c:dLbl>
            <c:dLbl>
              <c:idx val="1"/>
              <c:layout>
                <c:manualLayout>
                  <c:x val="-3.4995625546806971E-3"/>
                  <c:y val="-0.1534170153417015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BF49-4343-B45B-22BAFB21930E}"/>
                </c:ext>
              </c:extLst>
            </c:dLbl>
            <c:dLbl>
              <c:idx val="2"/>
              <c:layout>
                <c:manualLayout>
                  <c:x val="0"/>
                  <c:y val="-0.1673640167364017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BF49-4343-B45B-22BAFB21930E}"/>
                </c:ext>
              </c:extLst>
            </c:dLbl>
            <c:dLbl>
              <c:idx val="3"/>
              <c:layout>
                <c:manualLayout>
                  <c:x val="-1.4747762828858991E-3"/>
                  <c:y val="-0.1447171614008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BF49-4343-B45B-22BAFB21930E}"/>
                </c:ext>
              </c:extLst>
            </c:dLbl>
            <c:dLbl>
              <c:idx val="4"/>
              <c:layout>
                <c:manualLayout>
                  <c:x val="0"/>
                  <c:y val="-0.1087866108786610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3-BF49-4343-B45B-22BAFB21930E}"/>
                </c:ext>
              </c:extLst>
            </c:dLbl>
            <c:dLbl>
              <c:idx val="5"/>
              <c:layout>
                <c:manualLayout>
                  <c:x val="1.7497123883136014E-3"/>
                  <c:y val="-6.97348971545921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B-BF49-4343-B45B-22BAFB21930E}"/>
                </c:ext>
              </c:extLst>
            </c:dLbl>
            <c:dLbl>
              <c:idx val="6"/>
              <c:layout>
                <c:manualLayout>
                  <c:x val="0"/>
                  <c:y val="-0.1338912133891213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D-BF49-4343-B45B-22BAFB21930E}"/>
                </c:ext>
              </c:extLst>
            </c:dLbl>
            <c:dLbl>
              <c:idx val="7"/>
              <c:layout>
                <c:manualLayout>
                  <c:x val="3.499562554680665E-3"/>
                  <c:y val="-0.2008368200836820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1-BF49-4343-B45B-22BAFB21930E}"/>
                </c:ext>
              </c:extLst>
            </c:dLbl>
            <c:dLbl>
              <c:idx val="8"/>
              <c:layout>
                <c:manualLayout>
                  <c:x val="-6.9991251093614584E-3"/>
                  <c:y val="-0.2175732217573222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3-BF49-4343-B45B-22BAFB21930E}"/>
                </c:ext>
              </c:extLst>
            </c:dLbl>
            <c:dLbl>
              <c:idx val="9"/>
              <c:layout>
                <c:manualLayout>
                  <c:x val="-1.6122533284145979E-3"/>
                  <c:y val="-0.2280153685949226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F49-4343-B45B-22BAFB21930E}"/>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Lapas1!$B$3:$B$12</c:f>
              <c:strCache>
                <c:ptCount val="10"/>
                <c:pt idx="0">
                  <c:v>Bendros valstybės paslaugos</c:v>
                </c:pt>
                <c:pt idx="1">
                  <c:v>Gynyba</c:v>
                </c:pt>
                <c:pt idx="2">
                  <c:v>Viešoji tvarka ir visuomenės apsauga</c:v>
                </c:pt>
                <c:pt idx="3">
                  <c:v>Ekonomika</c:v>
                </c:pt>
                <c:pt idx="4">
                  <c:v>Aplinkos apsauga</c:v>
                </c:pt>
                <c:pt idx="5">
                  <c:v>Būstas ir komunalinis ūkis</c:v>
                </c:pt>
                <c:pt idx="6">
                  <c:v>Sveikatos apsauga</c:v>
                </c:pt>
                <c:pt idx="7">
                  <c:v>Poilsis, kultūra ir religija</c:v>
                </c:pt>
                <c:pt idx="8">
                  <c:v>Švietimas</c:v>
                </c:pt>
                <c:pt idx="9">
                  <c:v>Socialinė apsauga</c:v>
                </c:pt>
              </c:strCache>
            </c:strRef>
          </c:cat>
          <c:val>
            <c:numRef>
              <c:f>Lapas1!$L$3:$L$12</c:f>
              <c:numCache>
                <c:formatCode>General</c:formatCode>
                <c:ptCount val="10"/>
                <c:pt idx="0">
                  <c:v>1504599</c:v>
                </c:pt>
                <c:pt idx="1">
                  <c:v>962463</c:v>
                </c:pt>
                <c:pt idx="2">
                  <c:v>753307</c:v>
                </c:pt>
                <c:pt idx="3">
                  <c:v>2295401</c:v>
                </c:pt>
                <c:pt idx="4">
                  <c:v>181895</c:v>
                </c:pt>
                <c:pt idx="5">
                  <c:v>78226</c:v>
                </c:pt>
                <c:pt idx="6">
                  <c:v>712446</c:v>
                </c:pt>
                <c:pt idx="7">
                  <c:v>312882</c:v>
                </c:pt>
                <c:pt idx="8">
                  <c:v>1331839</c:v>
                </c:pt>
                <c:pt idx="9">
                  <c:v>1427251</c:v>
                </c:pt>
              </c:numCache>
            </c:numRef>
          </c:val>
          <c:extLst>
            <c:ext xmlns:c16="http://schemas.microsoft.com/office/drawing/2014/chart" uri="{C3380CC4-5D6E-409C-BE32-E72D297353CC}">
              <c16:uniqueId val="{0000000B-BF49-4343-B45B-22BAFB21930E}"/>
            </c:ext>
          </c:extLst>
        </c:ser>
        <c:ser>
          <c:idx val="4"/>
          <c:order val="4"/>
          <c:tx>
            <c:strRef>
              <c:f>Lapas1!$O$2</c:f>
              <c:strCache>
                <c:ptCount val="1"/>
                <c:pt idx="0">
                  <c:v>2019m.</c:v>
                </c:pt>
              </c:strCache>
            </c:strRef>
          </c:tx>
          <c:spPr>
            <a:solidFill>
              <a:schemeClr val="accent5"/>
            </a:solidFill>
            <a:ln>
              <a:noFill/>
            </a:ln>
            <a:effectLst/>
            <a:sp3d/>
          </c:spPr>
          <c:invertIfNegative val="0"/>
          <c:dLbls>
            <c:dLbl>
              <c:idx val="0"/>
              <c:layout>
                <c:manualLayout>
                  <c:x val="-1.7497812773403486E-3"/>
                  <c:y val="-0.1330623002668598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BF49-4343-B45B-22BAFB21930E}"/>
                </c:ext>
              </c:extLst>
            </c:dLbl>
            <c:dLbl>
              <c:idx val="1"/>
              <c:layout>
                <c:manualLayout>
                  <c:x val="-1.7497812773403325E-3"/>
                  <c:y val="-0.195258019525801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BF49-4343-B45B-22BAFB21930E}"/>
                </c:ext>
              </c:extLst>
            </c:dLbl>
            <c:dLbl>
              <c:idx val="2"/>
              <c:layout>
                <c:manualLayout>
                  <c:x val="-1.6122533284145387E-3"/>
                  <c:y val="-0.2002086163272491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BF49-4343-B45B-22BAFB21930E}"/>
                </c:ext>
              </c:extLst>
            </c:dLbl>
            <c:dLbl>
              <c:idx val="3"/>
              <c:layout>
                <c:manualLayout>
                  <c:x val="-6.4157905678210984E-17"/>
                  <c:y val="-0.1283124128312412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D-BF49-4343-B45B-22BAFB21930E}"/>
                </c:ext>
              </c:extLst>
            </c:dLbl>
            <c:dLbl>
              <c:idx val="4"/>
              <c:layout>
                <c:manualLayout>
                  <c:x val="-5.2493438320209973E-3"/>
                  <c:y val="-0.1635396830626297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BF49-4343-B45B-22BAFB21930E}"/>
                </c:ext>
              </c:extLst>
            </c:dLbl>
            <c:dLbl>
              <c:idx val="5"/>
              <c:layout>
                <c:manualLayout>
                  <c:x val="-6.4157905678210984E-17"/>
                  <c:y val="-0.1115760111576011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C-BF49-4343-B45B-22BAFB21930E}"/>
                </c:ext>
              </c:extLst>
            </c:dLbl>
            <c:dLbl>
              <c:idx val="6"/>
              <c:layout>
                <c:manualLayout>
                  <c:x val="-3.499562554680665E-3"/>
                  <c:y val="-0.1534170153417015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E-BF49-4343-B45B-22BAFB21930E}"/>
                </c:ext>
              </c:extLst>
            </c:dLbl>
            <c:dLbl>
              <c:idx val="7"/>
              <c:layout>
                <c:manualLayout>
                  <c:x val="1.7497812773403325E-3"/>
                  <c:y val="-0.2398884239888423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0-BF49-4343-B45B-22BAFB21930E}"/>
                </c:ext>
              </c:extLst>
            </c:dLbl>
            <c:dLbl>
              <c:idx val="8"/>
              <c:layout>
                <c:manualLayout>
                  <c:x val="-3.499562554680665E-3"/>
                  <c:y val="-0.2287308228730822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2-BF49-4343-B45B-22BAFB21930E}"/>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Lapas1!$B$3:$B$12</c:f>
              <c:strCache>
                <c:ptCount val="10"/>
                <c:pt idx="0">
                  <c:v>Bendros valstybės paslaugos</c:v>
                </c:pt>
                <c:pt idx="1">
                  <c:v>Gynyba</c:v>
                </c:pt>
                <c:pt idx="2">
                  <c:v>Viešoji tvarka ir visuomenės apsauga</c:v>
                </c:pt>
                <c:pt idx="3">
                  <c:v>Ekonomika</c:v>
                </c:pt>
                <c:pt idx="4">
                  <c:v>Aplinkos apsauga</c:v>
                </c:pt>
                <c:pt idx="5">
                  <c:v>Būstas ir komunalinis ūkis</c:v>
                </c:pt>
                <c:pt idx="6">
                  <c:v>Sveikatos apsauga</c:v>
                </c:pt>
                <c:pt idx="7">
                  <c:v>Poilsis, kultūra ir religija</c:v>
                </c:pt>
                <c:pt idx="8">
                  <c:v>Švietimas</c:v>
                </c:pt>
                <c:pt idx="9">
                  <c:v>Socialinė apsauga</c:v>
                </c:pt>
              </c:strCache>
            </c:strRef>
          </c:cat>
          <c:val>
            <c:numRef>
              <c:f>Lapas1!$O$3:$O$12</c:f>
              <c:numCache>
                <c:formatCode>General</c:formatCode>
                <c:ptCount val="10"/>
                <c:pt idx="0">
                  <c:v>1463856</c:v>
                </c:pt>
                <c:pt idx="1">
                  <c:v>1026256</c:v>
                </c:pt>
                <c:pt idx="2">
                  <c:v>801587</c:v>
                </c:pt>
                <c:pt idx="3">
                  <c:v>2213876</c:v>
                </c:pt>
                <c:pt idx="4">
                  <c:v>283684</c:v>
                </c:pt>
                <c:pt idx="5">
                  <c:v>93407</c:v>
                </c:pt>
                <c:pt idx="6">
                  <c:v>792371</c:v>
                </c:pt>
                <c:pt idx="7">
                  <c:v>353420</c:v>
                </c:pt>
                <c:pt idx="8">
                  <c:v>1517043</c:v>
                </c:pt>
                <c:pt idx="9">
                  <c:v>3135716</c:v>
                </c:pt>
              </c:numCache>
            </c:numRef>
          </c:val>
          <c:extLst>
            <c:ext xmlns:c16="http://schemas.microsoft.com/office/drawing/2014/chart" uri="{C3380CC4-5D6E-409C-BE32-E72D297353CC}">
              <c16:uniqueId val="{0000000E-BF49-4343-B45B-22BAFB21930E}"/>
            </c:ext>
          </c:extLst>
        </c:ser>
        <c:dLbls>
          <c:showLegendKey val="0"/>
          <c:showVal val="1"/>
          <c:showCatName val="0"/>
          <c:showSerName val="0"/>
          <c:showPercent val="0"/>
          <c:showBubbleSize val="0"/>
        </c:dLbls>
        <c:gapWidth val="150"/>
        <c:shape val="box"/>
        <c:axId val="793892976"/>
        <c:axId val="790481952"/>
        <c:axId val="0"/>
      </c:bar3DChart>
      <c:catAx>
        <c:axId val="793892976"/>
        <c:scaling>
          <c:orientation val="minMax"/>
        </c:scaling>
        <c:delete val="0"/>
        <c:axPos val="b"/>
        <c:title>
          <c:tx>
            <c:rich>
              <a:bodyPr rot="0" spcFirstLastPara="1" vertOverflow="ellipsis" vert="horz" wrap="square" anchor="ctr" anchorCtr="1"/>
              <a:lstStyle/>
              <a:p>
                <a:pPr>
                  <a:defRPr sz="900" b="0"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lt-LT" sz="700">
                    <a:solidFill>
                      <a:sysClr val="windowText" lastClr="000000"/>
                    </a:solidFill>
                    <a:latin typeface="Times New Roman" panose="02020603050405020304" pitchFamily="18" charset="0"/>
                    <a:cs typeface="Times New Roman" panose="02020603050405020304" pitchFamily="18" charset="0"/>
                  </a:rPr>
                  <a:t>Valstybės biudžeto sandara</a:t>
                </a:r>
                <a:endParaRPr lang="en-GB" sz="7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39660512228046818"/>
              <c:y val="0.92950313002647855"/>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cap="none" spc="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790481952"/>
        <c:crosses val="autoZero"/>
        <c:auto val="1"/>
        <c:lblAlgn val="ctr"/>
        <c:lblOffset val="100"/>
        <c:noMultiLvlLbl val="0"/>
      </c:catAx>
      <c:valAx>
        <c:axId val="790481952"/>
        <c:scaling>
          <c:orientation val="minMax"/>
          <c:max val="3300000"/>
          <c:min val="0"/>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wrap="square" anchor="ctr" anchorCtr="1"/>
              <a:lstStyle/>
              <a:p>
                <a:pPr>
                  <a:defRPr sz="700" b="0"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lt-LT" sz="700">
                    <a:solidFill>
                      <a:sysClr val="windowText" lastClr="000000"/>
                    </a:solidFill>
                    <a:latin typeface="Times New Roman" panose="02020603050405020304" pitchFamily="18" charset="0"/>
                    <a:cs typeface="Times New Roman" panose="02020603050405020304" pitchFamily="18" charset="0"/>
                  </a:rPr>
                  <a:t>tūkst. Eur</a:t>
                </a:r>
                <a:endParaRPr lang="en-GB" sz="7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2.4644089783271331E-2"/>
              <c:y val="0.1144363383148535"/>
            </c:manualLayout>
          </c:layout>
          <c:overlay val="0"/>
          <c:spPr>
            <a:noFill/>
            <a:ln>
              <a:noFill/>
            </a:ln>
            <a:effectLst/>
          </c:spPr>
          <c:txPr>
            <a:bodyPr rot="0" spcFirstLastPara="1" vertOverflow="ellipsis" wrap="square" anchor="ctr" anchorCtr="1"/>
            <a:lstStyle/>
            <a:p>
              <a:pPr>
                <a:defRPr sz="700" b="0"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793892976"/>
        <c:crosses val="autoZero"/>
        <c:crossBetween val="between"/>
      </c:valAx>
      <c:spPr>
        <a:noFill/>
        <a:ln>
          <a:noFill/>
        </a:ln>
        <a:effectLst/>
      </c:spPr>
    </c:plotArea>
    <c:legend>
      <c:legendPos val="t"/>
      <c:layout>
        <c:manualLayout>
          <c:xMode val="edge"/>
          <c:yMode val="edge"/>
          <c:x val="0.33748297155283991"/>
          <c:y val="9.3304544265915113E-2"/>
          <c:w val="0.32307195714248094"/>
          <c:h val="6.0546614940064761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E26EC30DD5CDB48965399D829D5F221" ma:contentTypeVersion="2" ma:contentTypeDescription="Kurkite naują dokumentą." ma:contentTypeScope="" ma:versionID="df5b26068b4e4e22575b3b0b5ae1509e">
  <xsd:schema xmlns:xsd="http://www.w3.org/2001/XMLSchema" xmlns:xs="http://www.w3.org/2001/XMLSchema" xmlns:p="http://schemas.microsoft.com/office/2006/metadata/properties" xmlns:ns3="7355c26b-147f-45ae-80c7-a1291bff06af" targetNamespace="http://schemas.microsoft.com/office/2006/metadata/properties" ma:root="true" ma:fieldsID="fa1573b232ab5ca525a6ab082a35b5a6" ns3:_="">
    <xsd:import namespace="7355c26b-147f-45ae-80c7-a1291bff06af"/>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5c26b-147f-45ae-80c7-a1291bff06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1D2BC-BF4E-432E-8F12-0AE18CB5FE7F}">
  <ds:schemaRefs>
    <ds:schemaRef ds:uri="http://schemas.microsoft.com/sharepoint/v3/contenttype/forms"/>
  </ds:schemaRefs>
</ds:datastoreItem>
</file>

<file path=customXml/itemProps2.xml><?xml version="1.0" encoding="utf-8"?>
<ds:datastoreItem xmlns:ds="http://schemas.openxmlformats.org/officeDocument/2006/customXml" ds:itemID="{1A514F84-6EA8-423B-BED9-B1CD8FD54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5c26b-147f-45ae-80c7-a1291bff06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0F85F8-7025-4F01-BDF3-182A7EB08408}">
  <ds:schemaRefs>
    <ds:schemaRef ds:uri="http://schemas.openxmlformats.org/officeDocument/2006/bibliography"/>
  </ds:schemaRefs>
</ds:datastoreItem>
</file>

<file path=customXml/itemProps4.xml><?xml version="1.0" encoding="utf-8"?>
<ds:datastoreItem xmlns:ds="http://schemas.openxmlformats.org/officeDocument/2006/customXml" ds:itemID="{F6A8828A-AC7B-47CB-A0DB-D2D36CECF5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1476</Words>
  <Characters>8416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Goda Beinoraitė</dc:creator>
  <cp:keywords/>
  <dc:description/>
  <cp:lastModifiedBy>Namai Zalioji5</cp:lastModifiedBy>
  <cp:revision>3</cp:revision>
  <dcterms:created xsi:type="dcterms:W3CDTF">2020-11-16T22:23:00Z</dcterms:created>
  <dcterms:modified xsi:type="dcterms:W3CDTF">2020-11-24T18:21:00Z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0x010100BE26EC30DD5CDB48965399D829D5F221</vt:lpwstr>
  </property>
</Properties>
</file>